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7A4" w:rsidRPr="00F278E2" w:rsidRDefault="000377A4" w:rsidP="000377A4">
      <w:pPr>
        <w:spacing w:after="0" w:line="240" w:lineRule="auto"/>
        <w:jc w:val="center"/>
        <w:rPr>
          <w:rFonts w:ascii="Arial Narrow" w:hAnsi="Arial Narrow"/>
        </w:rPr>
      </w:pPr>
      <w:bookmarkStart w:id="0" w:name="_GoBack"/>
      <w:bookmarkEnd w:id="0"/>
      <w:r w:rsidRPr="00F278E2">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9"/>
        <w:gridCol w:w="1900"/>
        <w:gridCol w:w="3435"/>
        <w:gridCol w:w="3428"/>
        <w:gridCol w:w="1728"/>
      </w:tblGrid>
      <w:tr w:rsidR="000377A4" w:rsidRPr="00F278E2" w:rsidTr="009D4BB5">
        <w:trPr>
          <w:cantSplit/>
          <w:tblHeader/>
        </w:trPr>
        <w:tc>
          <w:tcPr>
            <w:tcW w:w="461" w:type="dxa"/>
            <w:shd w:val="clear" w:color="auto" w:fill="003366"/>
            <w:vAlign w:val="center"/>
          </w:tcPr>
          <w:p w:rsidR="000377A4" w:rsidRPr="00F96282" w:rsidRDefault="000377A4" w:rsidP="009D4BB5">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w:t>
            </w:r>
          </w:p>
        </w:tc>
        <w:tc>
          <w:tcPr>
            <w:tcW w:w="1904" w:type="dxa"/>
            <w:shd w:val="clear" w:color="auto" w:fill="003366"/>
            <w:vAlign w:val="center"/>
          </w:tcPr>
          <w:p w:rsidR="000377A4" w:rsidRPr="00F96282" w:rsidRDefault="000377A4" w:rsidP="009D4BB5">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Output Measure</w:t>
            </w:r>
          </w:p>
        </w:tc>
        <w:tc>
          <w:tcPr>
            <w:tcW w:w="3451" w:type="dxa"/>
            <w:shd w:val="clear" w:color="auto" w:fill="003366"/>
            <w:vAlign w:val="center"/>
          </w:tcPr>
          <w:p w:rsidR="000377A4" w:rsidRPr="00F96282" w:rsidRDefault="000377A4" w:rsidP="009D4BB5">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Definition</w:t>
            </w:r>
          </w:p>
        </w:tc>
        <w:tc>
          <w:tcPr>
            <w:tcW w:w="3428" w:type="dxa"/>
            <w:shd w:val="clear" w:color="auto" w:fill="003366"/>
            <w:noWrap/>
            <w:vAlign w:val="center"/>
          </w:tcPr>
          <w:p w:rsidR="000377A4" w:rsidRPr="00F96282" w:rsidRDefault="000377A4" w:rsidP="009D4BB5">
            <w:pPr>
              <w:keepLines/>
              <w:spacing w:after="0" w:line="240" w:lineRule="auto"/>
              <w:jc w:val="center"/>
              <w:rPr>
                <w:rFonts w:ascii="Arial Narrow" w:hAnsi="Arial Narrow" w:cs="Tahoma"/>
                <w:sz w:val="20"/>
                <w:szCs w:val="20"/>
              </w:rPr>
            </w:pPr>
            <w:r w:rsidRPr="00F96282">
              <w:rPr>
                <w:rStyle w:val="Strong"/>
                <w:rFonts w:ascii="Arial Narrow" w:hAnsi="Arial Narrow" w:cs="Tahoma"/>
                <w:sz w:val="20"/>
                <w:szCs w:val="20"/>
              </w:rPr>
              <w:t>Data Grantee Reports</w:t>
            </w:r>
          </w:p>
        </w:tc>
        <w:tc>
          <w:tcPr>
            <w:tcW w:w="1736" w:type="dxa"/>
            <w:shd w:val="clear" w:color="auto" w:fill="003366"/>
          </w:tcPr>
          <w:p w:rsidR="000377A4" w:rsidRPr="00F96282" w:rsidRDefault="000377A4" w:rsidP="009D4BB5">
            <w:pPr>
              <w:keepLines/>
              <w:spacing w:after="0" w:line="240" w:lineRule="auto"/>
              <w:jc w:val="center"/>
              <w:rPr>
                <w:rStyle w:val="Strong"/>
                <w:rFonts w:ascii="Arial Narrow" w:hAnsi="Arial Narrow" w:cs="Tahoma"/>
                <w:sz w:val="20"/>
                <w:szCs w:val="20"/>
              </w:rPr>
            </w:pPr>
            <w:r w:rsidRPr="00F96282">
              <w:rPr>
                <w:rStyle w:val="Strong"/>
                <w:rFonts w:ascii="Arial Narrow" w:hAnsi="Arial Narrow" w:cs="Tahoma"/>
                <w:sz w:val="20"/>
                <w:szCs w:val="20"/>
              </w:rPr>
              <w:t>Record Data Here</w:t>
            </w: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
                <w:bCs/>
                <w:sz w:val="18"/>
                <w:szCs w:val="17"/>
              </w:rPr>
            </w:pPr>
            <w:r w:rsidRPr="00F278E2">
              <w:rPr>
                <w:rFonts w:ascii="Arial Narrow" w:hAnsi="Arial Narrow" w:cs="Tahoma"/>
                <w:b/>
                <w:bCs/>
                <w:sz w:val="18"/>
                <w:szCs w:val="17"/>
              </w:rPr>
              <w:t>Amount of JABG/Tribal JADG funds awarded for system improvement</w:t>
            </w:r>
          </w:p>
          <w:p w:rsidR="000377A4" w:rsidRPr="00F278E2" w:rsidRDefault="000377A4" w:rsidP="009D4BB5">
            <w:pPr>
              <w:keepLines/>
              <w:spacing w:after="0" w:line="240" w:lineRule="auto"/>
              <w:rPr>
                <w:rFonts w:ascii="Arial Narrow" w:hAnsi="Arial Narrow" w:cs="Tahoma"/>
                <w:b/>
                <w:bCs/>
                <w:sz w:val="18"/>
                <w:szCs w:val="17"/>
              </w:rPr>
            </w:pPr>
          </w:p>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 xml:space="preserve">(Mandatory for System Improvement only) </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428" w:type="dxa"/>
          </w:tcPr>
          <w:p w:rsidR="000377A4" w:rsidRPr="00F278E2" w:rsidRDefault="000377A4" w:rsidP="000377A4">
            <w:pPr>
              <w:keepLines/>
              <w:numPr>
                <w:ilvl w:val="0"/>
                <w:numId w:val="1"/>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Funds awarded to program for services</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staff trained on gun court procedures</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properly trained staff can provide better service.  Appropriate for any grantee working with or administering a gun court.  Report the raw number of staff to receive formal training on gun court related topics.  Percent is the raw number divided by the total number of staff in the pool from which those trained were selected.  For example, if 10 staff from a probation department were trained, the total pool would be the staff from the entire probation department.</w:t>
            </w:r>
          </w:p>
        </w:tc>
        <w:tc>
          <w:tcPr>
            <w:tcW w:w="3428" w:type="dxa"/>
          </w:tcPr>
          <w:p w:rsidR="000377A4" w:rsidRPr="00F278E2" w:rsidRDefault="000377A4" w:rsidP="000377A4">
            <w:pPr>
              <w:keepLines/>
              <w:numPr>
                <w:ilvl w:val="0"/>
                <w:numId w:val="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staff trained</w:t>
            </w:r>
          </w:p>
          <w:p w:rsidR="000377A4" w:rsidRPr="00F278E2" w:rsidRDefault="000377A4" w:rsidP="000377A4">
            <w:pPr>
              <w:keepLines/>
              <w:numPr>
                <w:ilvl w:val="0"/>
                <w:numId w:val="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staff</w:t>
            </w:r>
          </w:p>
          <w:p w:rsidR="000377A4" w:rsidRPr="00F278E2" w:rsidRDefault="000377A4" w:rsidP="000377A4">
            <w:pPr>
              <w:keepLines/>
              <w:numPr>
                <w:ilvl w:val="0"/>
                <w:numId w:val="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hours of training on gun court procedures offered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properly trained staff can provide better service.  Appropriate for any grantee working with or administering a gun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428" w:type="dxa"/>
          </w:tcPr>
          <w:p w:rsidR="000377A4" w:rsidRPr="00F278E2" w:rsidRDefault="000377A4" w:rsidP="000377A4">
            <w:pPr>
              <w:keepLines/>
              <w:numPr>
                <w:ilvl w:val="0"/>
                <w:numId w:val="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hours of training offered</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arrests for gun offenses in which a juvenile offender is assessed for participation in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operation level.  Appropriate for any gun court program or larger jurisdiction that includes a gun court.  Report the raw number of arrests for any type of gun-related offense that results in the juvenile offender being assessed for participation in the gun court.  Include face-to-face assessments, review of records, or any other process used to determine appropriateness for gun court participation.  The unit of measurement is the case, not the individual youth.  Percent is the raw number divided by the total number of arrests of juveniles for gun-related offenses.</w:t>
            </w:r>
          </w:p>
        </w:tc>
        <w:tc>
          <w:tcPr>
            <w:tcW w:w="3428" w:type="dxa"/>
          </w:tcPr>
          <w:p w:rsidR="000377A4" w:rsidRPr="00F278E2" w:rsidRDefault="000377A4" w:rsidP="000377A4">
            <w:pPr>
              <w:keepLines/>
              <w:numPr>
                <w:ilvl w:val="0"/>
                <w:numId w:val="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gun court assessments</w:t>
            </w:r>
          </w:p>
          <w:p w:rsidR="000377A4" w:rsidRPr="00F278E2" w:rsidRDefault="000377A4" w:rsidP="000377A4">
            <w:pPr>
              <w:keepLines/>
              <w:numPr>
                <w:ilvl w:val="0"/>
                <w:numId w:val="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gun-related arrests of juveniles</w:t>
            </w:r>
          </w:p>
          <w:p w:rsidR="000377A4" w:rsidRPr="00F278E2" w:rsidRDefault="000377A4" w:rsidP="000377A4">
            <w:pPr>
              <w:keepLines/>
              <w:numPr>
                <w:ilvl w:val="0"/>
                <w:numId w:val="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families of youth charged with gun offenses who are assessed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operation level.  In part, based on the idea that family participation has an effect on youth outcomes. Appropriate for any gun court program or larger jurisdiction that includes a gun court.  Report the raw number of families who have at least one member (other than the offender who is participating in the gun court) assessed through the gun court.    Percent is the raw number divided by the number of youth involved in the gun court.</w:t>
            </w:r>
          </w:p>
        </w:tc>
        <w:tc>
          <w:tcPr>
            <w:tcW w:w="3428" w:type="dxa"/>
          </w:tcPr>
          <w:p w:rsidR="000377A4" w:rsidRPr="00F278E2" w:rsidRDefault="000377A4" w:rsidP="000377A4">
            <w:pPr>
              <w:keepLines/>
              <w:numPr>
                <w:ilvl w:val="0"/>
                <w:numId w:val="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 xml:space="preserve">Number of families assessed </w:t>
            </w:r>
          </w:p>
          <w:p w:rsidR="000377A4" w:rsidRPr="00F278E2" w:rsidRDefault="000377A4" w:rsidP="000377A4">
            <w:pPr>
              <w:keepLines/>
              <w:numPr>
                <w:ilvl w:val="0"/>
                <w:numId w:val="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 xml:space="preserve">Number of youth enrolled in the gun courts </w:t>
            </w:r>
          </w:p>
          <w:p w:rsidR="000377A4" w:rsidRPr="00F278E2" w:rsidRDefault="000377A4" w:rsidP="000377A4">
            <w:pPr>
              <w:keepLines/>
              <w:numPr>
                <w:ilvl w:val="0"/>
                <w:numId w:val="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agencies involved in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 success is based on providing coordinated services.  Appropriate for any gun court program.  Report the raw number of agencies or groups with which the gun court (or gun court lead agency) has a formal partnership agreement.  Such agreements can take the form of a memorandum of understanding, formal procedures for referrals between the agency and the gun court, or any other document that outlines how the agency will work with the gun court.</w:t>
            </w:r>
          </w:p>
        </w:tc>
        <w:tc>
          <w:tcPr>
            <w:tcW w:w="3428" w:type="dxa"/>
          </w:tcPr>
          <w:p w:rsidR="000377A4" w:rsidRPr="00F278E2" w:rsidRDefault="000377A4" w:rsidP="000377A4">
            <w:pPr>
              <w:keepLines/>
              <w:numPr>
                <w:ilvl w:val="0"/>
                <w:numId w:val="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agencies involved in the gun court</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gun court slots</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scope.  Appropriate for any gun court program.  Report the number of youth that can participate in the gun court simultaneously.</w:t>
            </w:r>
          </w:p>
        </w:tc>
        <w:tc>
          <w:tcPr>
            <w:tcW w:w="3428" w:type="dxa"/>
          </w:tcPr>
          <w:p w:rsidR="000377A4" w:rsidRPr="00F278E2" w:rsidRDefault="000377A4" w:rsidP="000377A4">
            <w:pPr>
              <w:keepLines/>
              <w:numPr>
                <w:ilvl w:val="0"/>
                <w:numId w:val="7"/>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gun court slots</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spacing w:after="0" w:line="240" w:lineRule="auto"/>
              <w:rPr>
                <w:rFonts w:ascii="Arial Narrow" w:hAnsi="Arial Narrow" w:cs="Tahoma"/>
                <w:sz w:val="18"/>
                <w:szCs w:val="17"/>
              </w:rPr>
            </w:pPr>
            <w:r w:rsidRPr="00F278E2">
              <w:rPr>
                <w:rFonts w:ascii="Arial Narrow" w:hAnsi="Arial Narrow" w:cs="Tahoma"/>
                <w:sz w:val="18"/>
                <w:szCs w:val="17"/>
              </w:rPr>
              <w:t>Number of training requests RECEIVED</w:t>
            </w:r>
          </w:p>
        </w:tc>
        <w:tc>
          <w:tcPr>
            <w:tcW w:w="3451" w:type="dxa"/>
          </w:tcPr>
          <w:p w:rsidR="000377A4" w:rsidRPr="00F278E2" w:rsidRDefault="000377A4" w:rsidP="009D4BB5">
            <w:pPr>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training requests received during the reporting period. Requests can come from individuals or organizations served.</w:t>
            </w:r>
          </w:p>
        </w:tc>
        <w:tc>
          <w:tcPr>
            <w:tcW w:w="3428" w:type="dxa"/>
          </w:tcPr>
          <w:p w:rsidR="000377A4" w:rsidRPr="00F278E2" w:rsidRDefault="000377A4" w:rsidP="000377A4">
            <w:pPr>
              <w:keepLines/>
              <w:numPr>
                <w:ilvl w:val="0"/>
                <w:numId w:val="8"/>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training requests received during the reporting period.</w:t>
            </w:r>
          </w:p>
        </w:tc>
        <w:tc>
          <w:tcPr>
            <w:tcW w:w="1736" w:type="dxa"/>
          </w:tcPr>
          <w:p w:rsidR="000377A4" w:rsidRPr="00F278E2" w:rsidRDefault="000377A4" w:rsidP="009D4BB5">
            <w:pPr>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technical assistance requests RECEIVED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428" w:type="dxa"/>
          </w:tcPr>
          <w:p w:rsidR="000377A4" w:rsidRPr="00F278E2" w:rsidRDefault="000377A4" w:rsidP="000377A4">
            <w:pPr>
              <w:keepLines/>
              <w:numPr>
                <w:ilvl w:val="0"/>
                <w:numId w:val="9"/>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technical assistance requests received during the reporting period</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program materials developed during the reporting period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428" w:type="dxa"/>
          </w:tcPr>
          <w:p w:rsidR="000377A4" w:rsidRPr="00F278E2" w:rsidRDefault="000377A4" w:rsidP="000377A4">
            <w:pPr>
              <w:keepLines/>
              <w:numPr>
                <w:ilvl w:val="0"/>
                <w:numId w:val="10"/>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program materials developed</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planning or training events held during the reporting period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428" w:type="dxa"/>
          </w:tcPr>
          <w:p w:rsidR="000377A4" w:rsidRPr="00F278E2" w:rsidRDefault="000377A4" w:rsidP="000377A4">
            <w:pPr>
              <w:keepLines/>
              <w:numPr>
                <w:ilvl w:val="0"/>
                <w:numId w:val="11"/>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planning or training activities held during the reporting period</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people trained during the reporting period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428" w:type="dxa"/>
          </w:tcPr>
          <w:p w:rsidR="000377A4" w:rsidRPr="00F278E2" w:rsidRDefault="000377A4" w:rsidP="000377A4">
            <w:pPr>
              <w:keepLines/>
              <w:numPr>
                <w:ilvl w:val="0"/>
                <w:numId w:val="1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people trained</w:t>
            </w:r>
          </w:p>
        </w:tc>
        <w:tc>
          <w:tcPr>
            <w:tcW w:w="1736" w:type="dxa"/>
          </w:tcPr>
          <w:p w:rsidR="000377A4" w:rsidRPr="00F278E2" w:rsidRDefault="000377A4" w:rsidP="009D4BB5">
            <w:pPr>
              <w:keepLines/>
              <w:spacing w:after="0" w:line="240" w:lineRule="auto"/>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428" w:type="dxa"/>
          </w:tcPr>
          <w:p w:rsidR="000377A4" w:rsidRPr="00F278E2" w:rsidRDefault="000377A4" w:rsidP="000377A4">
            <w:pPr>
              <w:keepLines/>
              <w:numPr>
                <w:ilvl w:val="0"/>
                <w:numId w:val="1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programs served by TTA that reported using an evidence-based program and / or practice.</w:t>
            </w:r>
          </w:p>
          <w:p w:rsidR="000377A4" w:rsidRPr="00F278E2" w:rsidRDefault="000377A4" w:rsidP="000377A4">
            <w:pPr>
              <w:keepLines/>
              <w:numPr>
                <w:ilvl w:val="0"/>
                <w:numId w:val="1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programs served by TTA</w:t>
            </w:r>
          </w:p>
          <w:p w:rsidR="000377A4" w:rsidRPr="00F278E2" w:rsidRDefault="000377A4" w:rsidP="000377A4">
            <w:pPr>
              <w:keepLines/>
              <w:numPr>
                <w:ilvl w:val="0"/>
                <w:numId w:val="1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of programs served by TTA that report using an evidence-based program and / or practice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program policies changed, improved, or rescinded during the reporting period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28" w:type="dxa"/>
          </w:tcPr>
          <w:p w:rsidR="000377A4" w:rsidRPr="00F278E2" w:rsidRDefault="000377A4" w:rsidP="000377A4">
            <w:pPr>
              <w:keepLines/>
              <w:numPr>
                <w:ilvl w:val="0"/>
                <w:numId w:val="1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programs policies changed during the reporting period</w:t>
            </w:r>
          </w:p>
          <w:p w:rsidR="000377A4" w:rsidRPr="00F278E2" w:rsidRDefault="000377A4" w:rsidP="000377A4">
            <w:pPr>
              <w:keepLines/>
              <w:numPr>
                <w:ilvl w:val="0"/>
                <w:numId w:val="1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programs policies rescinded during the reporting period</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keepLines/>
              <w:numPr>
                <w:ilvl w:val="0"/>
                <w:numId w:val="34"/>
              </w:numPr>
              <w:spacing w:after="0" w:line="240" w:lineRule="auto"/>
              <w:jc w:val="center"/>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people exhibiting an increased knowledge of the program area during the reporting period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428" w:type="dxa"/>
          </w:tcPr>
          <w:p w:rsidR="000377A4" w:rsidRPr="00F278E2" w:rsidRDefault="000377A4" w:rsidP="000377A4">
            <w:pPr>
              <w:keepLines/>
              <w:numPr>
                <w:ilvl w:val="0"/>
                <w:numId w:val="1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people exhibiting an increase in knowledge post-training.</w:t>
            </w:r>
          </w:p>
          <w:p w:rsidR="000377A4" w:rsidRPr="00F278E2" w:rsidRDefault="000377A4" w:rsidP="000377A4">
            <w:pPr>
              <w:keepLines/>
              <w:numPr>
                <w:ilvl w:val="0"/>
                <w:numId w:val="1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people trained during the reporting period.</w:t>
            </w:r>
          </w:p>
          <w:p w:rsidR="000377A4" w:rsidRPr="00F278E2" w:rsidRDefault="000377A4" w:rsidP="000377A4">
            <w:pPr>
              <w:keepLines/>
              <w:numPr>
                <w:ilvl w:val="0"/>
                <w:numId w:val="1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of people trained who exhibited increased knowledge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Percent of organizations reporting improvements in operations based on training and technical assistance (TTA).</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The number and percent of organizations reporting improvements in operations as a result of TTA one to six months post-service</w:t>
            </w:r>
          </w:p>
        </w:tc>
        <w:tc>
          <w:tcPr>
            <w:tcW w:w="3428" w:type="dxa"/>
          </w:tcPr>
          <w:p w:rsidR="000377A4" w:rsidRPr="00F278E2" w:rsidRDefault="000377A4" w:rsidP="000377A4">
            <w:pPr>
              <w:keepLines/>
              <w:numPr>
                <w:ilvl w:val="0"/>
                <w:numId w:val="1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The number of organizations reporting improvements in operations as a result of TTA one to six months post-service</w:t>
            </w:r>
          </w:p>
          <w:p w:rsidR="000377A4" w:rsidRPr="00F278E2" w:rsidRDefault="000377A4" w:rsidP="000377A4">
            <w:pPr>
              <w:keepLines/>
              <w:numPr>
                <w:ilvl w:val="0"/>
                <w:numId w:val="1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The total number of organizations served by TTA during the reporting period</w:t>
            </w:r>
          </w:p>
          <w:p w:rsidR="000377A4" w:rsidRPr="00F278E2" w:rsidRDefault="000377A4" w:rsidP="000377A4">
            <w:pPr>
              <w:keepLines/>
              <w:numPr>
                <w:ilvl w:val="0"/>
                <w:numId w:val="1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of organizations reporting improvements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Time in days from arrest to enrollment in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 xml:space="preserve">Measure of program efficiency.  Appropriate for any gun court program.  Report the raw number of calendar days from the arrest of a juvenile offender to his/her first participation in the gun court.  For example, this might be the youth/family signing consent to participate, engaging in a gun court assessment, or a meeting between the family and the gun court staff to explain the requirements of the gun court.     </w:t>
            </w:r>
          </w:p>
        </w:tc>
        <w:tc>
          <w:tcPr>
            <w:tcW w:w="3428" w:type="dxa"/>
          </w:tcPr>
          <w:p w:rsidR="000377A4" w:rsidRPr="00F278E2" w:rsidRDefault="000377A4" w:rsidP="000377A4">
            <w:pPr>
              <w:keepLines/>
              <w:numPr>
                <w:ilvl w:val="0"/>
                <w:numId w:val="17"/>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days from arrest to enrollment</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treatment (clinical) slots available to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clinical treatment slots to which the gun court can refer youth.  For example, if the court is able to refer 10 youth to residential drug treatment, 15 youth to outpatient mental health services, and 30 youth for physical examinations at any one time, the program would report having 55 slots.</w:t>
            </w:r>
          </w:p>
        </w:tc>
        <w:tc>
          <w:tcPr>
            <w:tcW w:w="3428" w:type="dxa"/>
          </w:tcPr>
          <w:p w:rsidR="000377A4" w:rsidRPr="00F278E2" w:rsidRDefault="000377A4" w:rsidP="000377A4">
            <w:pPr>
              <w:keepLines/>
              <w:numPr>
                <w:ilvl w:val="0"/>
                <w:numId w:val="18"/>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clinical treatment slots</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types of treatment (clinical) offered through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different types of clinical treatment to which the gun court can refer youth.   Include treatment types for which there are 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w:t>
            </w:r>
          </w:p>
        </w:tc>
        <w:tc>
          <w:tcPr>
            <w:tcW w:w="3428" w:type="dxa"/>
          </w:tcPr>
          <w:p w:rsidR="000377A4" w:rsidRPr="00F278E2" w:rsidRDefault="000377A4" w:rsidP="000377A4">
            <w:pPr>
              <w:keepLines/>
              <w:numPr>
                <w:ilvl w:val="0"/>
                <w:numId w:val="19"/>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types of clinical treatment available</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service (non-clinical) slots available to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non-clinical service slots to which the gun court can refer youth.  For example, if the court is able to refer 10 youth to life skills training, 15 youth to vocational training, and 30 youth for GED classes, the program would report having 55 slots.</w:t>
            </w:r>
          </w:p>
        </w:tc>
        <w:tc>
          <w:tcPr>
            <w:tcW w:w="3428" w:type="dxa"/>
          </w:tcPr>
          <w:p w:rsidR="000377A4" w:rsidRPr="00F278E2" w:rsidRDefault="000377A4" w:rsidP="000377A4">
            <w:pPr>
              <w:keepLines/>
              <w:numPr>
                <w:ilvl w:val="0"/>
                <w:numId w:val="20"/>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non-clinical service slots</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types of service offered through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for a specialty court to be effective, it has to have adequate ability to refer youth to needed services.  Appropriate for any gun court.  Report the number of different types of non-clinical services to which the gun court can refer youth.   Include service types, for which there is an agreement or history of referral, not service types that the court can refer to if a need arises.  For example, services may include transportation, food vouchers, housing assistance, help getting back into school.</w:t>
            </w:r>
          </w:p>
        </w:tc>
        <w:tc>
          <w:tcPr>
            <w:tcW w:w="3428" w:type="dxa"/>
          </w:tcPr>
          <w:p w:rsidR="000377A4" w:rsidRPr="00F278E2" w:rsidRDefault="000377A4" w:rsidP="000377A4">
            <w:pPr>
              <w:keepLines/>
              <w:numPr>
                <w:ilvl w:val="0"/>
                <w:numId w:val="21"/>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types of non-clinical services</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eligible youth to enter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the system has a responsibility to serve as many eligible youth as possible.  Appropriate for any gun court or larger jurisdiction that includes a gun court.  Report the raw number of juveniles who actually become enrolled in the gun court.  Enrollment may include things like signing a participation agreement, assignment of a gun court case specialist, or appearing before a gun court judge.  Percent is the raw number divided by the number of juveniles who meet minimal gun court eligibility.  For example, if eligibility is based on the commission of a certain group of crimes and 100 youth commit at least one of those crimes, and the gun court enrolls 30 people, the percent would be 30.</w:t>
            </w:r>
          </w:p>
        </w:tc>
        <w:tc>
          <w:tcPr>
            <w:tcW w:w="3428" w:type="dxa"/>
          </w:tcPr>
          <w:p w:rsidR="000377A4" w:rsidRPr="00F278E2" w:rsidRDefault="000377A4" w:rsidP="000377A4">
            <w:pPr>
              <w:keepLines/>
              <w:numPr>
                <w:ilvl w:val="0"/>
                <w:numId w:val="2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enrolled</w:t>
            </w:r>
          </w:p>
          <w:p w:rsidR="000377A4" w:rsidRPr="00F278E2" w:rsidRDefault="000377A4" w:rsidP="000377A4">
            <w:pPr>
              <w:keepLines/>
              <w:numPr>
                <w:ilvl w:val="0"/>
                <w:numId w:val="2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eligible</w:t>
            </w:r>
          </w:p>
          <w:p w:rsidR="000377A4" w:rsidRPr="00F278E2" w:rsidRDefault="000377A4" w:rsidP="000377A4">
            <w:pPr>
              <w:keepLines/>
              <w:numPr>
                <w:ilvl w:val="0"/>
                <w:numId w:val="2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judicial contacts per youth per month</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courts require strict monitoring of their participants.  Appropriate for any gun court.  Report the average number of judicial contacts with gun court participants per month.  Specifically, take the number of judicial contacts with gun court youth in a 1-month period.  Divide that number by the number of youth enrolled during any part of that month.</w:t>
            </w:r>
          </w:p>
        </w:tc>
        <w:tc>
          <w:tcPr>
            <w:tcW w:w="3428" w:type="dxa"/>
          </w:tcPr>
          <w:p w:rsidR="000377A4" w:rsidRPr="00F278E2" w:rsidRDefault="000377A4" w:rsidP="000377A4">
            <w:pPr>
              <w:keepLines/>
              <w:numPr>
                <w:ilvl w:val="0"/>
                <w:numId w:val="2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judicial contacts with youth</w:t>
            </w:r>
          </w:p>
          <w:p w:rsidR="000377A4" w:rsidRPr="00F278E2" w:rsidRDefault="000377A4" w:rsidP="000377A4">
            <w:pPr>
              <w:keepLines/>
              <w:numPr>
                <w:ilvl w:val="0"/>
                <w:numId w:val="2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enrolled in the gun court</w:t>
            </w:r>
          </w:p>
          <w:p w:rsidR="000377A4" w:rsidRPr="00F278E2" w:rsidRDefault="000377A4" w:rsidP="000377A4">
            <w:pPr>
              <w:keepLines/>
              <w:numPr>
                <w:ilvl w:val="0"/>
                <w:numId w:val="2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contacts per youth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hours of treatment received per youth participating in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courts result in higher levels of treatment receipt than do traditional courts.  Appropriate for any gun court.  Report the average number of clinical treatment hours received per youth per month.  Specifically, take the number of clinical treatment hours that gun court youth receive in a 1-month period.  Divide that number by the number of youth enrolled during any part of that month in clinical treatment, which include services provided by a licensed professional such as a medical doctor, psychologist, licensed social worker, certified family counselor, or certified addictions specialist.</w:t>
            </w:r>
          </w:p>
        </w:tc>
        <w:tc>
          <w:tcPr>
            <w:tcW w:w="3428" w:type="dxa"/>
          </w:tcPr>
          <w:p w:rsidR="000377A4" w:rsidRPr="00F278E2" w:rsidRDefault="000377A4" w:rsidP="000377A4">
            <w:pPr>
              <w:keepLines/>
              <w:numPr>
                <w:ilvl w:val="0"/>
                <w:numId w:val="2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number of hours of clinical treatment received</w:t>
            </w:r>
          </w:p>
          <w:p w:rsidR="000377A4" w:rsidRPr="00F278E2" w:rsidRDefault="000377A4" w:rsidP="000377A4">
            <w:pPr>
              <w:keepLines/>
              <w:numPr>
                <w:ilvl w:val="0"/>
                <w:numId w:val="2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enrolled in the gun court</w:t>
            </w:r>
          </w:p>
          <w:p w:rsidR="000377A4" w:rsidRPr="00F278E2" w:rsidRDefault="000377A4" w:rsidP="000377A4">
            <w:pPr>
              <w:keepLines/>
              <w:numPr>
                <w:ilvl w:val="0"/>
                <w:numId w:val="24"/>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clinical hours per youth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Service intensity</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w:t>
            </w:r>
          </w:p>
        </w:tc>
        <w:tc>
          <w:tcPr>
            <w:tcW w:w="3428" w:type="dxa"/>
          </w:tcPr>
          <w:p w:rsidR="000377A4" w:rsidRPr="00F278E2" w:rsidRDefault="000377A4" w:rsidP="000377A4">
            <w:pPr>
              <w:keepLines/>
              <w:numPr>
                <w:ilvl w:val="0"/>
                <w:numId w:val="2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number of days of service per youth while enrolled</w:t>
            </w:r>
          </w:p>
          <w:p w:rsidR="000377A4" w:rsidRPr="00F278E2" w:rsidRDefault="000377A4" w:rsidP="000377A4">
            <w:pPr>
              <w:keepLines/>
              <w:numPr>
                <w:ilvl w:val="0"/>
                <w:numId w:val="2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number of days youth are enrolled</w:t>
            </w:r>
          </w:p>
          <w:p w:rsidR="000377A4" w:rsidRPr="00F278E2" w:rsidRDefault="000377A4" w:rsidP="000377A4">
            <w:pPr>
              <w:keepLines/>
              <w:numPr>
                <w:ilvl w:val="0"/>
                <w:numId w:val="25"/>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families of participants to actually participate in at least one recommended service (not including court appearances)</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client accountability.  Appropriate for any gun court program.  Report the raw number of families with a member enrolled in the gun court to participate in at least one gun court service or treatment.  Do not include appearances by family members at court dates or family members who solely drop youth off for their gun court requirements.  Percent is the raw number divided by the total number of families that have a member enrolled in the gun court.</w:t>
            </w:r>
          </w:p>
        </w:tc>
        <w:tc>
          <w:tcPr>
            <w:tcW w:w="3428" w:type="dxa"/>
          </w:tcPr>
          <w:p w:rsidR="000377A4" w:rsidRPr="00F278E2" w:rsidRDefault="000377A4" w:rsidP="000377A4">
            <w:pPr>
              <w:keepLines/>
              <w:numPr>
                <w:ilvl w:val="0"/>
                <w:numId w:val="2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families to participate</w:t>
            </w:r>
          </w:p>
          <w:p w:rsidR="000377A4" w:rsidRPr="00F278E2" w:rsidRDefault="000377A4" w:rsidP="000377A4">
            <w:pPr>
              <w:keepLines/>
              <w:numPr>
                <w:ilvl w:val="0"/>
                <w:numId w:val="2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families with a youth enrolled</w:t>
            </w:r>
          </w:p>
          <w:p w:rsidR="000377A4" w:rsidRPr="00F278E2" w:rsidRDefault="000377A4" w:rsidP="000377A4">
            <w:pPr>
              <w:keepLines/>
              <w:numPr>
                <w:ilvl w:val="0"/>
                <w:numId w:val="26"/>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Average number of different services and treatments received by youth gun court participants</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Appropriate for any gun court.  Report the average number of different types of service or clinical treatment received by gun court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w:t>
            </w:r>
          </w:p>
        </w:tc>
        <w:tc>
          <w:tcPr>
            <w:tcW w:w="3428" w:type="dxa"/>
          </w:tcPr>
          <w:p w:rsidR="000377A4" w:rsidRPr="00F278E2" w:rsidRDefault="000377A4" w:rsidP="000377A4">
            <w:pPr>
              <w:keepLines/>
              <w:numPr>
                <w:ilvl w:val="0"/>
                <w:numId w:val="27"/>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number of types of service received per client</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of days of youth enrollment in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youth accountability.  Appropriate for any gun court.  Report the average number of calendar days that youth enroll in the gun court.  Enrollment includes things like signing a participation agreement, assignment of a gun court case specialist, or appearing before a gun court judge.  Include active enrollment, not days on court rolls but where youth cannot be located or are otherwise non-participants (e.g., have moved out of the jurisdiction, but the paperwork to close the case has not been processed).</w:t>
            </w:r>
          </w:p>
        </w:tc>
        <w:tc>
          <w:tcPr>
            <w:tcW w:w="3428" w:type="dxa"/>
          </w:tcPr>
          <w:p w:rsidR="000377A4" w:rsidRPr="00F278E2" w:rsidRDefault="000377A4" w:rsidP="000377A4">
            <w:pPr>
              <w:keepLines/>
              <w:numPr>
                <w:ilvl w:val="0"/>
                <w:numId w:val="28"/>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number of days of court enrollment per youth</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youth to successfully complete treatment/services referred to as part of the gun court</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well-operated gun courts with appropriate resources will have higher rates of treatment/service completion than would poor-quality programs.  Appropriate for any gun court.  Report the raw number of youth that successfully complete all of the treatment and service programs that they enter as part of the gun court.  Percent is the raw number divided by the total number of youth to enter at least one service or treatment through the gun court.</w:t>
            </w:r>
          </w:p>
        </w:tc>
        <w:tc>
          <w:tcPr>
            <w:tcW w:w="3428" w:type="dxa"/>
          </w:tcPr>
          <w:p w:rsidR="000377A4" w:rsidRPr="00F278E2" w:rsidRDefault="000377A4" w:rsidP="000377A4">
            <w:pPr>
              <w:keepLines/>
              <w:numPr>
                <w:ilvl w:val="0"/>
                <w:numId w:val="29"/>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to successfully complete their treatment/service requirements</w:t>
            </w:r>
          </w:p>
          <w:p w:rsidR="000377A4" w:rsidRPr="00F278E2" w:rsidRDefault="000377A4" w:rsidP="000377A4">
            <w:pPr>
              <w:keepLines/>
              <w:numPr>
                <w:ilvl w:val="0"/>
                <w:numId w:val="29"/>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enrolled in treatment/service</w:t>
            </w:r>
          </w:p>
          <w:p w:rsidR="000377A4" w:rsidRPr="00F278E2" w:rsidRDefault="000377A4" w:rsidP="000377A4">
            <w:pPr>
              <w:keepLines/>
              <w:numPr>
                <w:ilvl w:val="0"/>
                <w:numId w:val="29"/>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youth to successfully complete their gun court requirements</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quality based on the idea that well-operated gun courts with appropriate resources will have higher rates of completion than would poor-quality programs.  Appropriate for any gun court.  Report the raw number of youth that successfully complete all of their gun court requirements (service, treatment, and legal).  Percent is the raw number divided by the total number of youth to enroll in the gun court.  Enrollment includes things like signing a participation agreement, assignment of a gun court case specialist, or appearing before a gun court judge. "</w:t>
            </w:r>
          </w:p>
        </w:tc>
        <w:tc>
          <w:tcPr>
            <w:tcW w:w="3428" w:type="dxa"/>
          </w:tcPr>
          <w:p w:rsidR="000377A4" w:rsidRPr="00F278E2" w:rsidRDefault="000377A4" w:rsidP="000377A4">
            <w:pPr>
              <w:keepLines/>
              <w:numPr>
                <w:ilvl w:val="0"/>
                <w:numId w:val="30"/>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to successfully complete their gun court requirements</w:t>
            </w:r>
          </w:p>
          <w:p w:rsidR="000377A4" w:rsidRPr="00F278E2" w:rsidRDefault="000377A4" w:rsidP="000377A4">
            <w:pPr>
              <w:keepLines/>
              <w:numPr>
                <w:ilvl w:val="0"/>
                <w:numId w:val="30"/>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youth to exit the gun court</w:t>
            </w:r>
          </w:p>
          <w:p w:rsidR="000377A4" w:rsidRPr="00F278E2" w:rsidRDefault="000377A4" w:rsidP="000377A4">
            <w:pPr>
              <w:keepLines/>
              <w:numPr>
                <w:ilvl w:val="0"/>
                <w:numId w:val="30"/>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Cost savings per case</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program efficiency.  Appropriate for any gun court.  Report the average cost in dollars to adjudicate a youth through the gun court subtracted from the average cost for adjudication of equivalent cases by the regular court.</w:t>
            </w:r>
          </w:p>
        </w:tc>
        <w:tc>
          <w:tcPr>
            <w:tcW w:w="3428" w:type="dxa"/>
          </w:tcPr>
          <w:p w:rsidR="000377A4" w:rsidRPr="00F278E2" w:rsidRDefault="000377A4" w:rsidP="000377A4">
            <w:pPr>
              <w:keepLines/>
              <w:numPr>
                <w:ilvl w:val="0"/>
                <w:numId w:val="31"/>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cost per gun court case</w:t>
            </w:r>
          </w:p>
          <w:p w:rsidR="000377A4" w:rsidRPr="00F278E2" w:rsidRDefault="000377A4" w:rsidP="000377A4">
            <w:pPr>
              <w:keepLines/>
              <w:numPr>
                <w:ilvl w:val="0"/>
                <w:numId w:val="31"/>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Average cost per equivalent non-gun court case</w:t>
            </w:r>
          </w:p>
          <w:p w:rsidR="000377A4" w:rsidRPr="00F278E2" w:rsidRDefault="000377A4" w:rsidP="000377A4">
            <w:pPr>
              <w:keepLines/>
              <w:numPr>
                <w:ilvl w:val="0"/>
                <w:numId w:val="31"/>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Cost savings (B-A)</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court appearances missed by gun court participants</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youth accountability.  Appropriate for any gun court.  Report the raw number of court appearances missed by gun court participants.  Percent is the raw number divided by the total number of court appearances scheduled.</w:t>
            </w:r>
          </w:p>
        </w:tc>
        <w:tc>
          <w:tcPr>
            <w:tcW w:w="3428" w:type="dxa"/>
          </w:tcPr>
          <w:p w:rsidR="000377A4" w:rsidRPr="00F278E2" w:rsidRDefault="000377A4" w:rsidP="000377A4">
            <w:pPr>
              <w:keepLines/>
              <w:numPr>
                <w:ilvl w:val="0"/>
                <w:numId w:val="3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missed court appearances</w:t>
            </w:r>
          </w:p>
          <w:p w:rsidR="000377A4" w:rsidRPr="00F278E2" w:rsidRDefault="000377A4" w:rsidP="000377A4">
            <w:pPr>
              <w:keepLines/>
              <w:numPr>
                <w:ilvl w:val="0"/>
                <w:numId w:val="3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appointments</w:t>
            </w:r>
          </w:p>
          <w:p w:rsidR="000377A4" w:rsidRPr="00F278E2" w:rsidRDefault="000377A4" w:rsidP="000377A4">
            <w:pPr>
              <w:keepLines/>
              <w:numPr>
                <w:ilvl w:val="0"/>
                <w:numId w:val="32"/>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r w:rsidR="000377A4" w:rsidRPr="00F278E2" w:rsidTr="009D4BB5">
        <w:trPr>
          <w:cantSplit/>
        </w:trPr>
        <w:tc>
          <w:tcPr>
            <w:tcW w:w="461" w:type="dxa"/>
          </w:tcPr>
          <w:p w:rsidR="000377A4" w:rsidRPr="00331DD5" w:rsidRDefault="000377A4" w:rsidP="00331DD5">
            <w:pPr>
              <w:pStyle w:val="ListParagraph"/>
              <w:numPr>
                <w:ilvl w:val="0"/>
                <w:numId w:val="34"/>
              </w:numPr>
              <w:spacing w:after="0" w:line="240" w:lineRule="auto"/>
              <w:rPr>
                <w:rFonts w:ascii="Arial Narrow" w:hAnsi="Arial Narrow" w:cs="Tahoma"/>
                <w:sz w:val="18"/>
                <w:szCs w:val="17"/>
              </w:rPr>
            </w:pPr>
          </w:p>
        </w:tc>
        <w:tc>
          <w:tcPr>
            <w:tcW w:w="1904" w:type="dxa"/>
          </w:tcPr>
          <w:p w:rsidR="000377A4" w:rsidRPr="00F278E2" w:rsidRDefault="000377A4" w:rsidP="009D4BB5">
            <w:pPr>
              <w:keepLines/>
              <w:spacing w:after="0" w:line="240" w:lineRule="auto"/>
              <w:rPr>
                <w:rFonts w:ascii="Arial Narrow" w:hAnsi="Arial Narrow" w:cs="Tahoma"/>
                <w:bCs/>
                <w:sz w:val="18"/>
                <w:szCs w:val="17"/>
              </w:rPr>
            </w:pPr>
            <w:r w:rsidRPr="00F278E2">
              <w:rPr>
                <w:rFonts w:ascii="Arial Narrow" w:hAnsi="Arial Narrow" w:cs="Tahoma"/>
                <w:bCs/>
                <w:sz w:val="18"/>
                <w:szCs w:val="17"/>
              </w:rPr>
              <w:t>Number and percent of gun court participants for whom a bench warrant is issued</w:t>
            </w:r>
          </w:p>
        </w:tc>
        <w:tc>
          <w:tcPr>
            <w:tcW w:w="3451" w:type="dxa"/>
          </w:tcPr>
          <w:p w:rsidR="000377A4" w:rsidRPr="00F278E2" w:rsidRDefault="000377A4" w:rsidP="009D4BB5">
            <w:pPr>
              <w:keepLines/>
              <w:spacing w:after="0" w:line="240" w:lineRule="auto"/>
              <w:rPr>
                <w:rFonts w:ascii="Arial Narrow" w:hAnsi="Arial Narrow" w:cs="Tahoma"/>
                <w:sz w:val="18"/>
                <w:szCs w:val="17"/>
              </w:rPr>
            </w:pPr>
            <w:r w:rsidRPr="00F278E2">
              <w:rPr>
                <w:rFonts w:ascii="Arial Narrow" w:hAnsi="Arial Narrow" w:cs="Tahoma"/>
                <w:sz w:val="18"/>
                <w:szCs w:val="17"/>
              </w:rPr>
              <w:t>Measure of system accountability.  Appropriate for any gun court.  Report the raw number of gun court participants to be issued a bench warrant.  Percent is the raw number divided by the number of gun court participants enrolled during any part of the reporting period.</w:t>
            </w:r>
          </w:p>
        </w:tc>
        <w:tc>
          <w:tcPr>
            <w:tcW w:w="3428" w:type="dxa"/>
          </w:tcPr>
          <w:p w:rsidR="000377A4" w:rsidRPr="00F278E2" w:rsidRDefault="000377A4" w:rsidP="000377A4">
            <w:pPr>
              <w:keepLines/>
              <w:numPr>
                <w:ilvl w:val="0"/>
                <w:numId w:val="3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participants issued a bench warrant</w:t>
            </w:r>
          </w:p>
          <w:p w:rsidR="000377A4" w:rsidRPr="00F278E2" w:rsidRDefault="000377A4" w:rsidP="000377A4">
            <w:pPr>
              <w:keepLines/>
              <w:numPr>
                <w:ilvl w:val="0"/>
                <w:numId w:val="3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Number of participants</w:t>
            </w:r>
          </w:p>
          <w:p w:rsidR="000377A4" w:rsidRPr="00F278E2" w:rsidRDefault="000377A4" w:rsidP="000377A4">
            <w:pPr>
              <w:keepLines/>
              <w:numPr>
                <w:ilvl w:val="0"/>
                <w:numId w:val="33"/>
              </w:numPr>
              <w:tabs>
                <w:tab w:val="left" w:pos="288"/>
              </w:tabs>
              <w:spacing w:after="0" w:line="240" w:lineRule="auto"/>
              <w:ind w:left="288" w:hanging="288"/>
              <w:rPr>
                <w:rFonts w:ascii="Arial Narrow" w:hAnsi="Arial Narrow" w:cs="Tahoma"/>
                <w:sz w:val="18"/>
                <w:szCs w:val="17"/>
              </w:rPr>
            </w:pPr>
            <w:r w:rsidRPr="00F278E2">
              <w:rPr>
                <w:rFonts w:ascii="Arial Narrow" w:hAnsi="Arial Narrow" w:cs="Tahoma"/>
                <w:sz w:val="18"/>
                <w:szCs w:val="17"/>
              </w:rPr>
              <w:t>Percent (A/B)</w:t>
            </w:r>
          </w:p>
        </w:tc>
        <w:tc>
          <w:tcPr>
            <w:tcW w:w="1736" w:type="dxa"/>
          </w:tcPr>
          <w:p w:rsidR="000377A4" w:rsidRPr="00F278E2" w:rsidRDefault="000377A4" w:rsidP="009D4BB5">
            <w:pPr>
              <w:keepLines/>
              <w:spacing w:after="0" w:line="240" w:lineRule="auto"/>
              <w:ind w:left="720"/>
              <w:rPr>
                <w:rFonts w:ascii="Arial Narrow" w:hAnsi="Arial Narrow" w:cs="Tahoma"/>
                <w:sz w:val="18"/>
                <w:szCs w:val="17"/>
              </w:rPr>
            </w:pPr>
          </w:p>
        </w:tc>
      </w:tr>
    </w:tbl>
    <w:p w:rsidR="000377A4" w:rsidRPr="00F278E2" w:rsidRDefault="000377A4" w:rsidP="000377A4">
      <w:pPr>
        <w:pStyle w:val="BodyText"/>
        <w:spacing w:after="0" w:line="240" w:lineRule="auto"/>
        <w:rPr>
          <w:rFonts w:ascii="Arial Narrow" w:hAnsi="Arial Narrow"/>
        </w:rPr>
      </w:pPr>
    </w:p>
    <w:p w:rsidR="00AA4FBE" w:rsidRDefault="00AA4FBE"/>
    <w:sectPr w:rsidR="00AA4FBE" w:rsidSect="000377A4">
      <w:headerReference w:type="default"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1C3" w:rsidRDefault="00AF31C3" w:rsidP="000377A4">
      <w:pPr>
        <w:spacing w:after="0" w:line="240" w:lineRule="auto"/>
      </w:pPr>
      <w:r>
        <w:separator/>
      </w:r>
    </w:p>
  </w:endnote>
  <w:endnote w:type="continuationSeparator" w:id="0">
    <w:p w:rsidR="00AF31C3" w:rsidRDefault="00AF31C3" w:rsidP="0003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0377A4" w:rsidRPr="000377A4" w:rsidRDefault="000377A4" w:rsidP="000377A4">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Gun Courts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331DD5">
          <w:rPr>
            <w:rFonts w:ascii="Arial Narrow" w:hAnsi="Arial Narrow" w:cs="Arial"/>
            <w:noProof/>
          </w:rPr>
          <w:t>6</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1C3" w:rsidRDefault="00AF31C3" w:rsidP="000377A4">
      <w:pPr>
        <w:spacing w:after="0" w:line="240" w:lineRule="auto"/>
      </w:pPr>
      <w:r>
        <w:separator/>
      </w:r>
    </w:p>
  </w:footnote>
  <w:footnote w:type="continuationSeparator" w:id="0">
    <w:p w:rsidR="00AF31C3" w:rsidRDefault="00AF31C3" w:rsidP="00037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7A4" w:rsidRPr="00A43942" w:rsidRDefault="000377A4" w:rsidP="000377A4">
    <w:pPr>
      <w:pStyle w:val="Heading1"/>
      <w:spacing w:before="0" w:after="0"/>
      <w:rPr>
        <w:b w:val="0"/>
        <w:color w:val="auto"/>
      </w:rPr>
    </w:pPr>
    <w:r w:rsidRPr="00A43942">
      <w:rPr>
        <w:b w:val="0"/>
        <w:color w:val="auto"/>
      </w:rPr>
      <w:t xml:space="preserve">OFFICE OF JUVENILE JUSTICE AND DELINQUENCY PREVENTION </w:t>
    </w:r>
  </w:p>
  <w:p w:rsidR="000377A4" w:rsidRPr="00A43942" w:rsidRDefault="000377A4" w:rsidP="000377A4">
    <w:pPr>
      <w:pStyle w:val="Heading1"/>
      <w:spacing w:before="100" w:after="100"/>
      <w:rPr>
        <w:b w:val="0"/>
      </w:rPr>
    </w:pPr>
    <w:r w:rsidRPr="00A43942">
      <w:rPr>
        <w:b w:val="0"/>
      </w:rPr>
      <w:t>Juvenile Accountability Block Grant Program</w:t>
    </w:r>
  </w:p>
  <w:p w:rsidR="000377A4" w:rsidRPr="000377A4" w:rsidRDefault="000377A4" w:rsidP="000377A4">
    <w:pPr>
      <w:pStyle w:val="Heading1"/>
      <w:rPr>
        <w:color w:val="auto"/>
        <w:sz w:val="22"/>
      </w:rPr>
    </w:pPr>
    <w:r w:rsidRPr="008D4D76">
      <w:rPr>
        <w:color w:val="auto"/>
        <w:sz w:val="22"/>
      </w:rPr>
      <w:t xml:space="preserve">PURPOSE Area: </w:t>
    </w:r>
    <w:r w:rsidRPr="008D4D76">
      <w:rPr>
        <w:sz w:val="22"/>
      </w:rPr>
      <w:t>Gun Courts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A0D"/>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64925"/>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354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28B7"/>
    <w:multiLevelType w:val="hybridMultilevel"/>
    <w:tmpl w:val="DF26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B032D"/>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D3B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F4E6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031C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00861"/>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1388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10B53"/>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694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B4145"/>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B2A7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305A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2186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1422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F041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22D8F"/>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D60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C6C69"/>
    <w:multiLevelType w:val="hybridMultilevel"/>
    <w:tmpl w:val="4F90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14F80"/>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76D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97497"/>
    <w:multiLevelType w:val="hybridMultilevel"/>
    <w:tmpl w:val="814E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A41B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311E0"/>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E22A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D6A5E"/>
    <w:multiLevelType w:val="hybridMultilevel"/>
    <w:tmpl w:val="A26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E0B7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70945"/>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0112A"/>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3611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26F9D"/>
    <w:multiLevelType w:val="hybridMultilevel"/>
    <w:tmpl w:val="3208D70E"/>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A71B13"/>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30"/>
  </w:num>
  <w:num w:numId="4">
    <w:abstractNumId w:val="29"/>
  </w:num>
  <w:num w:numId="5">
    <w:abstractNumId w:val="10"/>
  </w:num>
  <w:num w:numId="6">
    <w:abstractNumId w:val="25"/>
  </w:num>
  <w:num w:numId="7">
    <w:abstractNumId w:val="12"/>
  </w:num>
  <w:num w:numId="8">
    <w:abstractNumId w:val="33"/>
  </w:num>
  <w:num w:numId="9">
    <w:abstractNumId w:val="8"/>
  </w:num>
  <w:num w:numId="10">
    <w:abstractNumId w:val="18"/>
  </w:num>
  <w:num w:numId="11">
    <w:abstractNumId w:val="27"/>
  </w:num>
  <w:num w:numId="12">
    <w:abstractNumId w:val="23"/>
  </w:num>
  <w:num w:numId="13">
    <w:abstractNumId w:val="20"/>
  </w:num>
  <w:num w:numId="14">
    <w:abstractNumId w:val="4"/>
  </w:num>
  <w:num w:numId="15">
    <w:abstractNumId w:val="1"/>
  </w:num>
  <w:num w:numId="16">
    <w:abstractNumId w:val="5"/>
  </w:num>
  <w:num w:numId="17">
    <w:abstractNumId w:val="19"/>
  </w:num>
  <w:num w:numId="18">
    <w:abstractNumId w:val="22"/>
  </w:num>
  <w:num w:numId="19">
    <w:abstractNumId w:val="24"/>
  </w:num>
  <w:num w:numId="20">
    <w:abstractNumId w:val="31"/>
  </w:num>
  <w:num w:numId="21">
    <w:abstractNumId w:val="13"/>
  </w:num>
  <w:num w:numId="22">
    <w:abstractNumId w:val="7"/>
  </w:num>
  <w:num w:numId="23">
    <w:abstractNumId w:val="11"/>
  </w:num>
  <w:num w:numId="24">
    <w:abstractNumId w:val="26"/>
  </w:num>
  <w:num w:numId="25">
    <w:abstractNumId w:val="17"/>
  </w:num>
  <w:num w:numId="26">
    <w:abstractNumId w:val="0"/>
  </w:num>
  <w:num w:numId="27">
    <w:abstractNumId w:val="9"/>
  </w:num>
  <w:num w:numId="28">
    <w:abstractNumId w:val="28"/>
  </w:num>
  <w:num w:numId="29">
    <w:abstractNumId w:val="16"/>
  </w:num>
  <w:num w:numId="30">
    <w:abstractNumId w:val="14"/>
  </w:num>
  <w:num w:numId="31">
    <w:abstractNumId w:val="15"/>
  </w:num>
  <w:num w:numId="32">
    <w:abstractNumId w:val="2"/>
  </w:num>
  <w:num w:numId="33">
    <w:abstractNumId w:val="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A4"/>
    <w:rsid w:val="000377A4"/>
    <w:rsid w:val="00331DD5"/>
    <w:rsid w:val="004614D9"/>
    <w:rsid w:val="0051117E"/>
    <w:rsid w:val="00AA4FBE"/>
    <w:rsid w:val="00AF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023C-BA8D-402A-B7E2-0A658D8E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7A4"/>
  </w:style>
  <w:style w:type="paragraph" w:styleId="Heading1">
    <w:name w:val="heading 1"/>
    <w:basedOn w:val="Normal"/>
    <w:next w:val="BodyText"/>
    <w:link w:val="Heading1Char"/>
    <w:qFormat/>
    <w:rsid w:val="000377A4"/>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377A4"/>
    <w:rPr>
      <w:b/>
      <w:bCs/>
    </w:rPr>
  </w:style>
  <w:style w:type="paragraph" w:styleId="BodyText">
    <w:name w:val="Body Text"/>
    <w:basedOn w:val="Normal"/>
    <w:link w:val="BodyTextChar"/>
    <w:unhideWhenUsed/>
    <w:rsid w:val="000377A4"/>
    <w:pPr>
      <w:spacing w:after="120"/>
    </w:pPr>
  </w:style>
  <w:style w:type="character" w:customStyle="1" w:styleId="BodyTextChar">
    <w:name w:val="Body Text Char"/>
    <w:basedOn w:val="DefaultParagraphFont"/>
    <w:link w:val="BodyText"/>
    <w:rsid w:val="000377A4"/>
  </w:style>
  <w:style w:type="paragraph" w:styleId="Header">
    <w:name w:val="header"/>
    <w:basedOn w:val="Normal"/>
    <w:link w:val="HeaderChar"/>
    <w:uiPriority w:val="99"/>
    <w:unhideWhenUsed/>
    <w:rsid w:val="0003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7A4"/>
  </w:style>
  <w:style w:type="paragraph" w:styleId="Footer">
    <w:name w:val="footer"/>
    <w:basedOn w:val="Normal"/>
    <w:link w:val="FooterChar"/>
    <w:uiPriority w:val="99"/>
    <w:unhideWhenUsed/>
    <w:rsid w:val="00037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7A4"/>
  </w:style>
  <w:style w:type="character" w:customStyle="1" w:styleId="Heading1Char">
    <w:name w:val="Heading 1 Char"/>
    <w:basedOn w:val="DefaultParagraphFont"/>
    <w:link w:val="Heading1"/>
    <w:rsid w:val="000377A4"/>
    <w:rPr>
      <w:rFonts w:ascii="Arial Bold" w:eastAsia="Times New Roman" w:hAnsi="Arial Bold" w:cs="Times New Roman"/>
      <w:b/>
      <w:caps/>
      <w:color w:val="003366"/>
      <w:kern w:val="28"/>
      <w:sz w:val="24"/>
      <w:szCs w:val="24"/>
    </w:rPr>
  </w:style>
  <w:style w:type="paragraph" w:styleId="NoSpacing">
    <w:name w:val="No Spacing"/>
    <w:uiPriority w:val="1"/>
    <w:qFormat/>
    <w:rsid w:val="000377A4"/>
    <w:pPr>
      <w:spacing w:after="0" w:line="240" w:lineRule="auto"/>
    </w:pPr>
  </w:style>
  <w:style w:type="paragraph" w:styleId="ListParagraph">
    <w:name w:val="List Paragraph"/>
    <w:basedOn w:val="Normal"/>
    <w:uiPriority w:val="34"/>
    <w:qFormat/>
    <w:rsid w:val="0033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2021-07-23T12:37:00Z</dcterms:created>
  <dcterms:modified xsi:type="dcterms:W3CDTF">2021-07-23T12:37:00Z</dcterms:modified>
</cp:coreProperties>
</file>