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75" w:type="dxa"/>
          <w:left w:w="75" w:type="dxa"/>
          <w:bottom w:w="75" w:type="dxa"/>
          <w:right w:w="75" w:type="dxa"/>
        </w:tblCellMar>
        <w:tblLook w:val="0000" w:firstRow="0" w:lastRow="0" w:firstColumn="0" w:lastColumn="0" w:noHBand="0" w:noVBand="0"/>
      </w:tblPr>
      <w:tblGrid>
        <w:gridCol w:w="345"/>
        <w:gridCol w:w="2026"/>
        <w:gridCol w:w="4484"/>
        <w:gridCol w:w="2460"/>
        <w:gridCol w:w="1466"/>
      </w:tblGrid>
      <w:tr w:rsidR="0092174D" w:rsidRPr="00636FE4" w:rsidTr="00006325">
        <w:trPr>
          <w:cantSplit/>
          <w:tblHeader/>
        </w:trPr>
        <w:tc>
          <w:tcPr>
            <w:tcW w:w="345" w:type="dxa"/>
            <w:tcBorders>
              <w:left w:val="single" w:sz="4" w:space="0" w:color="auto"/>
              <w:bottom w:val="single" w:sz="6" w:space="0" w:color="000000"/>
              <w:right w:val="single" w:sz="6" w:space="0" w:color="FFFFFF"/>
            </w:tcBorders>
            <w:shd w:val="clear" w:color="auto" w:fill="003366"/>
            <w:vAlign w:val="center"/>
          </w:tcPr>
          <w:p w:rsidR="0092174D" w:rsidRPr="00006325" w:rsidRDefault="0092174D" w:rsidP="00006325">
            <w:pPr>
              <w:keepLines/>
              <w:spacing w:after="0" w:line="240" w:lineRule="auto"/>
              <w:rPr>
                <w:rFonts w:ascii="Arial Narrow Bold" w:hAnsi="Arial Narrow Bold" w:cs="Tahoma"/>
                <w:b/>
                <w:color w:val="FFFFFF"/>
                <w:sz w:val="18"/>
                <w:szCs w:val="18"/>
              </w:rPr>
            </w:pPr>
            <w:bookmarkStart w:id="0" w:name="_GoBack"/>
            <w:bookmarkEnd w:id="0"/>
            <w:r w:rsidRPr="00006325">
              <w:rPr>
                <w:rStyle w:val="Strong"/>
                <w:rFonts w:ascii="Arial Narrow Bold" w:hAnsi="Arial Narrow Bold" w:cs="Tahoma"/>
                <w:color w:val="FFFFFF"/>
                <w:sz w:val="18"/>
                <w:szCs w:val="18"/>
              </w:rPr>
              <w:t>#</w:t>
            </w:r>
          </w:p>
        </w:tc>
        <w:tc>
          <w:tcPr>
            <w:tcW w:w="2026" w:type="dxa"/>
            <w:tcBorders>
              <w:left w:val="single" w:sz="6" w:space="0" w:color="FFFFFF"/>
              <w:bottom w:val="single" w:sz="6" w:space="0" w:color="000000"/>
              <w:right w:val="single" w:sz="6" w:space="0" w:color="FFFFFF"/>
            </w:tcBorders>
            <w:shd w:val="clear" w:color="auto" w:fill="003366"/>
            <w:vAlign w:val="center"/>
          </w:tcPr>
          <w:p w:rsidR="0092174D" w:rsidRPr="00006325" w:rsidRDefault="0092174D" w:rsidP="00006325">
            <w:pPr>
              <w:keepLines/>
              <w:spacing w:after="0" w:line="240" w:lineRule="auto"/>
              <w:rPr>
                <w:rFonts w:ascii="Arial Narrow Bold" w:hAnsi="Arial Narrow Bold" w:cs="Tahoma"/>
                <w:b/>
                <w:color w:val="FFFFFF"/>
                <w:sz w:val="18"/>
                <w:szCs w:val="18"/>
              </w:rPr>
            </w:pPr>
            <w:r w:rsidRPr="00006325">
              <w:rPr>
                <w:rStyle w:val="Strong"/>
                <w:rFonts w:ascii="Arial Narrow Bold" w:hAnsi="Arial Narrow Bold" w:cs="Tahoma"/>
                <w:color w:val="FFFFFF"/>
                <w:sz w:val="18"/>
                <w:szCs w:val="18"/>
              </w:rPr>
              <w:t>Output Measure</w:t>
            </w:r>
          </w:p>
        </w:tc>
        <w:tc>
          <w:tcPr>
            <w:tcW w:w="4484" w:type="dxa"/>
            <w:tcBorders>
              <w:left w:val="single" w:sz="6" w:space="0" w:color="FFFFFF"/>
              <w:bottom w:val="single" w:sz="6" w:space="0" w:color="000000"/>
              <w:right w:val="single" w:sz="6" w:space="0" w:color="FFFFFF"/>
            </w:tcBorders>
            <w:shd w:val="clear" w:color="auto" w:fill="003366"/>
            <w:vAlign w:val="center"/>
          </w:tcPr>
          <w:p w:rsidR="0092174D" w:rsidRPr="00006325" w:rsidRDefault="0092174D" w:rsidP="00006325">
            <w:pPr>
              <w:keepLines/>
              <w:spacing w:after="0" w:line="240" w:lineRule="auto"/>
              <w:rPr>
                <w:rFonts w:ascii="Arial Narrow Bold" w:hAnsi="Arial Narrow Bold" w:cs="Tahoma"/>
                <w:b/>
                <w:color w:val="FFFFFF"/>
                <w:sz w:val="18"/>
                <w:szCs w:val="18"/>
              </w:rPr>
            </w:pPr>
            <w:r w:rsidRPr="00006325">
              <w:rPr>
                <w:rStyle w:val="Strong"/>
                <w:rFonts w:ascii="Arial Narrow Bold" w:hAnsi="Arial Narrow Bold" w:cs="Tahoma"/>
                <w:color w:val="FFFFFF"/>
                <w:sz w:val="18"/>
                <w:szCs w:val="18"/>
              </w:rPr>
              <w:t>Definition</w:t>
            </w:r>
          </w:p>
        </w:tc>
        <w:tc>
          <w:tcPr>
            <w:tcW w:w="2460" w:type="dxa"/>
            <w:tcBorders>
              <w:left w:val="single" w:sz="6" w:space="0" w:color="FFFFFF"/>
              <w:bottom w:val="single" w:sz="6" w:space="0" w:color="000000"/>
              <w:right w:val="single" w:sz="6" w:space="0" w:color="FFFFFF"/>
            </w:tcBorders>
            <w:shd w:val="clear" w:color="auto" w:fill="003366"/>
            <w:noWrap/>
            <w:vAlign w:val="center"/>
          </w:tcPr>
          <w:p w:rsidR="0092174D" w:rsidRPr="00006325" w:rsidRDefault="0092174D" w:rsidP="00006325">
            <w:pPr>
              <w:keepLines/>
              <w:spacing w:after="0" w:line="240" w:lineRule="auto"/>
              <w:rPr>
                <w:rFonts w:ascii="Arial Narrow Bold" w:hAnsi="Arial Narrow Bold" w:cs="Tahoma"/>
                <w:b/>
                <w:color w:val="FFFFFF"/>
                <w:sz w:val="18"/>
                <w:szCs w:val="18"/>
              </w:rPr>
            </w:pPr>
            <w:r w:rsidRPr="00006325">
              <w:rPr>
                <w:rStyle w:val="Strong"/>
                <w:rFonts w:ascii="Arial Narrow Bold" w:hAnsi="Arial Narrow Bold" w:cs="Tahoma"/>
                <w:color w:val="FFFFFF"/>
                <w:sz w:val="18"/>
                <w:szCs w:val="18"/>
              </w:rPr>
              <w:t>Data Grantee Provides</w:t>
            </w:r>
          </w:p>
        </w:tc>
        <w:tc>
          <w:tcPr>
            <w:tcW w:w="1466" w:type="dxa"/>
            <w:tcBorders>
              <w:left w:val="single" w:sz="6" w:space="0" w:color="FFFFFF"/>
              <w:bottom w:val="single" w:sz="6" w:space="0" w:color="000000"/>
            </w:tcBorders>
            <w:shd w:val="clear" w:color="auto" w:fill="003366"/>
            <w:vAlign w:val="center"/>
          </w:tcPr>
          <w:p w:rsidR="0092174D" w:rsidRPr="00006325" w:rsidRDefault="0092174D" w:rsidP="00006325">
            <w:pPr>
              <w:keepLines/>
              <w:spacing w:after="0" w:line="240" w:lineRule="auto"/>
              <w:rPr>
                <w:rStyle w:val="Strong"/>
                <w:rFonts w:ascii="Arial Narrow Bold" w:hAnsi="Arial Narrow Bold" w:cs="Tahoma"/>
                <w:color w:val="FFFFFF"/>
                <w:sz w:val="18"/>
                <w:szCs w:val="18"/>
              </w:rPr>
            </w:pPr>
            <w:r w:rsidRPr="00006325">
              <w:rPr>
                <w:rStyle w:val="Strong"/>
                <w:rFonts w:ascii="Arial Narrow Bold" w:hAnsi="Arial Narrow Bold" w:cs="Tahoma"/>
                <w:color w:val="FFFFFF"/>
                <w:sz w:val="18"/>
                <w:szCs w:val="18"/>
              </w:rPr>
              <w:t>Record Data Here</w:t>
            </w: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Amount of JABG/Tribal JADG funds awarded for system improvement</w:t>
            </w:r>
          </w:p>
          <w:p w:rsidR="0092174D" w:rsidRDefault="0092174D" w:rsidP="00293CED">
            <w:pPr>
              <w:keepLines/>
              <w:spacing w:after="0" w:line="240" w:lineRule="auto"/>
              <w:rPr>
                <w:rFonts w:ascii="Arial Narrow" w:hAnsi="Arial Narrow" w:cs="Tahoma"/>
                <w:color w:val="000000"/>
                <w:sz w:val="18"/>
                <w:szCs w:val="17"/>
              </w:rPr>
            </w:pPr>
          </w:p>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System Improvements Mandatory</w:t>
            </w:r>
          </w:p>
        </w:tc>
        <w:tc>
          <w:tcPr>
            <w:tcW w:w="4484"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460" w:type="dxa"/>
            <w:tcBorders>
              <w:top w:val="single" w:sz="6" w:space="0" w:color="000000"/>
              <w:bottom w:val="single" w:sz="6" w:space="0" w:color="000000"/>
              <w:right w:val="single" w:sz="6" w:space="0" w:color="000000"/>
            </w:tcBorders>
          </w:tcPr>
          <w:p w:rsidR="0092174D" w:rsidRDefault="0092174D" w:rsidP="00006325">
            <w:pPr>
              <w:keepLines/>
              <w:tabs>
                <w:tab w:val="left" w:pos="246"/>
              </w:tab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Funds awarded to program for services</w:t>
            </w:r>
          </w:p>
          <w:p w:rsidR="0092174D" w:rsidRDefault="0092174D" w:rsidP="00293CED">
            <w:pPr>
              <w:keepLines/>
              <w:spacing w:after="0" w:line="240" w:lineRule="auto"/>
              <w:rPr>
                <w:rFonts w:ascii="Arial Narrow" w:hAnsi="Arial Narrow" w:cs="Tahoma"/>
                <w:color w:val="000000"/>
                <w:sz w:val="18"/>
                <w:szCs w:val="17"/>
              </w:rPr>
            </w:pP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staff trained on drug court procedures</w:t>
            </w:r>
          </w:p>
        </w:tc>
        <w:tc>
          <w:tcPr>
            <w:tcW w:w="4484"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properly trained staff can provide better service. Appropriate for any grantee working with or administering a drug court. Report the raw number of staff to receive formal training on drug court related topics. Percent is the raw number divided by the total number of staff in the pool from which those trained were selected. For example, if 10 staff from a probation department were trained, the total pool would be the staff from the entire probation department. </w:t>
            </w:r>
          </w:p>
        </w:tc>
        <w:tc>
          <w:tcPr>
            <w:tcW w:w="2460" w:type="dxa"/>
            <w:tcBorders>
              <w:top w:val="single" w:sz="6" w:space="0" w:color="000000"/>
              <w:bottom w:val="single" w:sz="6" w:space="0" w:color="000000"/>
              <w:right w:val="single" w:sz="6" w:space="0" w:color="000000"/>
            </w:tcBorders>
          </w:tcPr>
          <w:p w:rsidR="0092174D" w:rsidRDefault="0092174D" w:rsidP="00006325">
            <w:pPr>
              <w:keepLines/>
              <w:tabs>
                <w:tab w:val="left" w:pos="246"/>
              </w:tab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staff trained</w:t>
            </w:r>
          </w:p>
          <w:p w:rsidR="0092174D" w:rsidRDefault="0092174D" w:rsidP="00006325">
            <w:pPr>
              <w:keepLines/>
              <w:tabs>
                <w:tab w:val="left" w:pos="246"/>
              </w:tab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staff</w:t>
            </w:r>
          </w:p>
          <w:p w:rsidR="0092174D" w:rsidRDefault="0092174D" w:rsidP="00006325">
            <w:pPr>
              <w:keepLines/>
              <w:tabs>
                <w:tab w:val="left" w:pos="246"/>
              </w:tab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92174D" w:rsidRDefault="0092174D" w:rsidP="00006325">
            <w:pPr>
              <w:keepLines/>
              <w:tabs>
                <w:tab w:val="left" w:pos="246"/>
              </w:tabs>
              <w:spacing w:after="0" w:line="240" w:lineRule="auto"/>
              <w:ind w:left="243" w:hanging="220"/>
              <w:rPr>
                <w:rFonts w:ascii="Arial Narrow" w:hAnsi="Arial Narrow" w:cs="Tahoma"/>
                <w:color w:val="000000"/>
                <w:sz w:val="18"/>
                <w:szCs w:val="17"/>
              </w:rPr>
            </w:pP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hours of training on drug court procedures offered</w:t>
            </w:r>
          </w:p>
        </w:tc>
        <w:tc>
          <w:tcPr>
            <w:tcW w:w="4484"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properly trained staff can provide better service. Appropriate for any grantee working with or administering a drug court.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 </w:t>
            </w:r>
          </w:p>
        </w:tc>
        <w:tc>
          <w:tcPr>
            <w:tcW w:w="2460" w:type="dxa"/>
            <w:tcBorders>
              <w:top w:val="single" w:sz="6" w:space="0" w:color="000000"/>
              <w:bottom w:val="single" w:sz="6" w:space="0" w:color="000000"/>
              <w:right w:val="single" w:sz="6" w:space="0" w:color="000000"/>
            </w:tcBorders>
          </w:tcPr>
          <w:p w:rsidR="0092174D" w:rsidRDefault="0092174D" w:rsidP="00006325">
            <w:pPr>
              <w:keepLines/>
              <w:tabs>
                <w:tab w:val="left" w:pos="246"/>
              </w:tab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hours of training offered</w:t>
            </w:r>
          </w:p>
          <w:p w:rsidR="0092174D" w:rsidRDefault="0092174D" w:rsidP="00006325">
            <w:pPr>
              <w:keepLines/>
              <w:tabs>
                <w:tab w:val="left" w:pos="246"/>
              </w:tabs>
              <w:spacing w:after="0" w:line="240" w:lineRule="auto"/>
              <w:rPr>
                <w:rFonts w:ascii="Arial Narrow" w:hAnsi="Arial Narrow" w:cs="Tahoma"/>
                <w:color w:val="000000"/>
                <w:sz w:val="18"/>
                <w:szCs w:val="17"/>
              </w:rPr>
            </w:pP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youth charged with drug offenses, who are assessed for participation in the drug court</w:t>
            </w:r>
          </w:p>
        </w:tc>
        <w:tc>
          <w:tcPr>
            <w:tcW w:w="4484"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operation level. Appropriate for any drug court program, or larger jurisdiction that includes a drug court. Report the raw number of arrests for any type of drug-related offense that results in the juvenile offender being assessed for participation in the drug court. Include face-to-face assessments, review of records, or any other process used to determine appropriateness for drug court participation. The unit of measurement is the case, not the individual youth. Percent is the raw number divided by the total number of arrests of juveniles for drug-related offenses. </w:t>
            </w:r>
          </w:p>
        </w:tc>
        <w:tc>
          <w:tcPr>
            <w:tcW w:w="2460" w:type="dxa"/>
            <w:tcBorders>
              <w:top w:val="single" w:sz="6" w:space="0" w:color="000000"/>
              <w:bottom w:val="single" w:sz="6" w:space="0" w:color="000000"/>
              <w:right w:val="single" w:sz="6" w:space="0" w:color="000000"/>
            </w:tcBorders>
          </w:tcPr>
          <w:p w:rsidR="0092174D" w:rsidRDefault="0092174D" w:rsidP="00006325">
            <w:pPr>
              <w:keepLines/>
              <w:tabs>
                <w:tab w:val="left" w:pos="246"/>
              </w:tab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drug court assessments</w:t>
            </w:r>
          </w:p>
          <w:p w:rsidR="0092174D" w:rsidRDefault="0092174D" w:rsidP="00006325">
            <w:pPr>
              <w:keepLines/>
              <w:tabs>
                <w:tab w:val="left" w:pos="246"/>
              </w:tab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drug-related arrests of juveniles</w:t>
            </w:r>
          </w:p>
          <w:p w:rsidR="0092174D" w:rsidRDefault="0092174D" w:rsidP="00006325">
            <w:pPr>
              <w:keepLines/>
              <w:tabs>
                <w:tab w:val="left" w:pos="246"/>
              </w:tab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92174D" w:rsidRDefault="0092174D" w:rsidP="00006325">
            <w:pPr>
              <w:keepLines/>
              <w:tabs>
                <w:tab w:val="left" w:pos="246"/>
              </w:tabs>
              <w:spacing w:after="0" w:line="240" w:lineRule="auto"/>
              <w:rPr>
                <w:rFonts w:ascii="Arial Narrow" w:hAnsi="Arial Narrow" w:cs="Tahoma"/>
                <w:color w:val="000000"/>
                <w:sz w:val="18"/>
                <w:szCs w:val="17"/>
              </w:rPr>
            </w:pP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families of youth charged with drug offenses, who are assessed for participation in the drug court</w:t>
            </w:r>
          </w:p>
        </w:tc>
        <w:tc>
          <w:tcPr>
            <w:tcW w:w="4484"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operation level. In part, based on the idea that family participation has an effect on youth outcomes. Appropriate for any drug court program, or larger jurisdiction that includes a drug court. Report the raw number of families who have at least one member (other than the offender who is participating in the drug court) assessed through the drug court. Percent is the raw number divided by the number of youth involved in the drug court. </w:t>
            </w:r>
          </w:p>
        </w:tc>
        <w:tc>
          <w:tcPr>
            <w:tcW w:w="2460" w:type="dxa"/>
            <w:tcBorders>
              <w:top w:val="single" w:sz="6" w:space="0" w:color="000000"/>
              <w:bottom w:val="single" w:sz="6" w:space="0" w:color="000000"/>
              <w:right w:val="single" w:sz="6" w:space="0" w:color="000000"/>
            </w:tcBorders>
          </w:tcPr>
          <w:p w:rsidR="0092174D" w:rsidRDefault="0092174D" w:rsidP="00006325">
            <w:pPr>
              <w:keepLines/>
              <w:tabs>
                <w:tab w:val="left" w:pos="246"/>
              </w:tab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families assessed</w:t>
            </w:r>
          </w:p>
          <w:p w:rsidR="0092174D" w:rsidRDefault="0092174D" w:rsidP="00006325">
            <w:pPr>
              <w:keepLines/>
              <w:tabs>
                <w:tab w:val="left" w:pos="246"/>
              </w:tab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youth enrolled in the drug court</w:t>
            </w:r>
          </w:p>
          <w:p w:rsidR="0092174D" w:rsidRDefault="0092174D" w:rsidP="00006325">
            <w:pPr>
              <w:keepLines/>
              <w:tabs>
                <w:tab w:val="left" w:pos="246"/>
              </w:tab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92174D" w:rsidRDefault="0092174D" w:rsidP="00006325">
            <w:pPr>
              <w:keepLines/>
              <w:tabs>
                <w:tab w:val="left" w:pos="246"/>
              </w:tabs>
              <w:spacing w:after="0" w:line="240" w:lineRule="auto"/>
              <w:rPr>
                <w:rFonts w:ascii="Arial Narrow" w:hAnsi="Arial Narrow" w:cs="Tahoma"/>
                <w:color w:val="000000"/>
                <w:sz w:val="18"/>
                <w:szCs w:val="17"/>
              </w:rPr>
            </w:pP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agencies involved in the drug court</w:t>
            </w:r>
          </w:p>
        </w:tc>
        <w:tc>
          <w:tcPr>
            <w:tcW w:w="4484"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specialty court success is based on providing coordinated services. Appropriate for any drug court program. Report the raw number of agencies or groups with which the drug court (or drug court lead agency) has a formal partnership agreement. Such agreements can take the form of a memorandum of understanding, formal procedures for referrals between the agency and the drug court, or any other document that outlines how the agency will work with the drug court. </w:t>
            </w:r>
          </w:p>
        </w:tc>
        <w:tc>
          <w:tcPr>
            <w:tcW w:w="2460" w:type="dxa"/>
            <w:tcBorders>
              <w:top w:val="single" w:sz="6" w:space="0" w:color="000000"/>
              <w:bottom w:val="single" w:sz="6" w:space="0" w:color="000000"/>
              <w:right w:val="single" w:sz="6" w:space="0" w:color="000000"/>
            </w:tcBorders>
          </w:tcPr>
          <w:p w:rsidR="0092174D" w:rsidRDefault="0092174D" w:rsidP="00006325">
            <w:pPr>
              <w:keepLines/>
              <w:tabs>
                <w:tab w:val="left" w:pos="246"/>
              </w:tabs>
              <w:spacing w:after="0" w:line="240" w:lineRule="auto"/>
              <w:ind w:left="243" w:hanging="220"/>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agencies enrolled in the drug court</w:t>
            </w:r>
          </w:p>
          <w:p w:rsidR="0092174D" w:rsidRDefault="0092174D" w:rsidP="00006325">
            <w:pPr>
              <w:keepLines/>
              <w:tabs>
                <w:tab w:val="left" w:pos="246"/>
              </w:tabs>
              <w:spacing w:after="0" w:line="240" w:lineRule="auto"/>
              <w:rPr>
                <w:rFonts w:ascii="Arial Narrow" w:hAnsi="Arial Narrow" w:cs="Tahoma"/>
                <w:color w:val="000000"/>
                <w:sz w:val="18"/>
                <w:szCs w:val="17"/>
              </w:rPr>
            </w:pP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drug court slots</w:t>
            </w:r>
          </w:p>
        </w:tc>
        <w:tc>
          <w:tcPr>
            <w:tcW w:w="4484"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scope. Appropriate for any drug court program. Report the number of youth that can participate in the drug court simultaneously. </w:t>
            </w:r>
          </w:p>
        </w:tc>
        <w:tc>
          <w:tcPr>
            <w:tcW w:w="2460" w:type="dxa"/>
            <w:tcBorders>
              <w:top w:val="single" w:sz="6" w:space="0" w:color="000000"/>
              <w:bottom w:val="single" w:sz="6" w:space="0" w:color="000000"/>
              <w:right w:val="single" w:sz="6" w:space="0" w:color="000000"/>
            </w:tcBorders>
          </w:tcPr>
          <w:p w:rsidR="0092174D" w:rsidRPr="00006325" w:rsidRDefault="0092174D" w:rsidP="00006325">
            <w:pPr>
              <w:pStyle w:val="ListParagraph"/>
              <w:keepLines/>
              <w:numPr>
                <w:ilvl w:val="0"/>
                <w:numId w:val="13"/>
              </w:numPr>
              <w:spacing w:after="0" w:line="240" w:lineRule="auto"/>
              <w:ind w:left="255" w:hanging="255"/>
              <w:rPr>
                <w:rFonts w:ascii="Arial Narrow" w:hAnsi="Arial Narrow" w:cs="Tahoma"/>
                <w:color w:val="000000"/>
                <w:sz w:val="18"/>
                <w:szCs w:val="17"/>
              </w:rPr>
            </w:pPr>
            <w:r w:rsidRPr="00006325">
              <w:rPr>
                <w:rFonts w:ascii="Arial Narrow" w:hAnsi="Arial Narrow" w:cs="Tahoma"/>
                <w:color w:val="000000"/>
                <w:sz w:val="18"/>
                <w:szCs w:val="17"/>
              </w:rPr>
              <w:t>Number of drug court slots</w:t>
            </w:r>
          </w:p>
          <w:p w:rsidR="0092174D" w:rsidRDefault="0092174D" w:rsidP="00006325">
            <w:pPr>
              <w:keepLines/>
              <w:spacing w:after="0" w:line="240" w:lineRule="auto"/>
              <w:ind w:left="255" w:hanging="255"/>
              <w:rPr>
                <w:rFonts w:ascii="Arial Narrow" w:hAnsi="Arial Narrow" w:cs="Tahoma"/>
                <w:color w:val="000000"/>
                <w:sz w:val="18"/>
                <w:szCs w:val="17"/>
              </w:rPr>
            </w:pP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Time in days from arrest to enrollment in the drug court</w:t>
            </w:r>
          </w:p>
        </w:tc>
        <w:tc>
          <w:tcPr>
            <w:tcW w:w="4484"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efficiency. Appropriate for any drug court program. Report the raw number of calendar days from the arrest of a juvenile offender to his/her first participation in the drug court. For example, this might be the youth/family signing consent to participate, engaging in a drug court assessment, or a meeting between the family and the drug court staff to explain the requirements of the drug court. </w:t>
            </w:r>
          </w:p>
        </w:tc>
        <w:tc>
          <w:tcPr>
            <w:tcW w:w="2460" w:type="dxa"/>
            <w:tcBorders>
              <w:top w:val="single" w:sz="6" w:space="0" w:color="000000"/>
              <w:bottom w:val="single" w:sz="6" w:space="0" w:color="000000"/>
              <w:right w:val="single" w:sz="6" w:space="0" w:color="000000"/>
            </w:tcBorders>
          </w:tcPr>
          <w:p w:rsidR="0092174D" w:rsidRPr="00006325" w:rsidRDefault="0092174D" w:rsidP="00006325">
            <w:pPr>
              <w:pStyle w:val="ListParagraph"/>
              <w:keepLines/>
              <w:numPr>
                <w:ilvl w:val="0"/>
                <w:numId w:val="16"/>
              </w:numPr>
              <w:spacing w:after="0" w:line="240" w:lineRule="auto"/>
              <w:ind w:left="255" w:hanging="255"/>
              <w:rPr>
                <w:rFonts w:ascii="Arial Narrow" w:hAnsi="Arial Narrow" w:cs="Tahoma"/>
                <w:color w:val="000000"/>
                <w:sz w:val="18"/>
                <w:szCs w:val="17"/>
              </w:rPr>
            </w:pPr>
            <w:r w:rsidRPr="00006325">
              <w:rPr>
                <w:rFonts w:ascii="Arial Narrow" w:hAnsi="Arial Narrow" w:cs="Tahoma"/>
                <w:color w:val="000000"/>
                <w:sz w:val="18"/>
                <w:szCs w:val="17"/>
              </w:rPr>
              <w:t>Number of days from arrest to enrollment in the drug court</w:t>
            </w:r>
          </w:p>
          <w:p w:rsidR="0092174D" w:rsidRDefault="0092174D" w:rsidP="00006325">
            <w:pPr>
              <w:keepLines/>
              <w:spacing w:after="0" w:line="240" w:lineRule="auto"/>
              <w:ind w:left="255" w:hanging="255"/>
              <w:rPr>
                <w:rFonts w:ascii="Arial Narrow" w:hAnsi="Arial Narrow" w:cs="Tahoma"/>
                <w:color w:val="000000"/>
                <w:sz w:val="18"/>
                <w:szCs w:val="17"/>
              </w:rPr>
            </w:pP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18" w:lineRule="atLeast"/>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92174D" w:rsidRPr="001A1B8D" w:rsidRDefault="0092174D" w:rsidP="00293CED">
            <w:pPr>
              <w:keepLines/>
              <w:spacing w:after="0" w:line="218" w:lineRule="atLeast"/>
              <w:rPr>
                <w:rFonts w:ascii="Arial Narrow" w:hAnsi="Arial Narrow" w:cs="Tahoma"/>
                <w:color w:val="000000"/>
                <w:sz w:val="18"/>
                <w:szCs w:val="17"/>
              </w:rPr>
            </w:pPr>
          </w:p>
        </w:tc>
        <w:tc>
          <w:tcPr>
            <w:tcW w:w="4484" w:type="dxa"/>
            <w:tcBorders>
              <w:top w:val="single" w:sz="6" w:space="0" w:color="000000"/>
              <w:bottom w:val="single" w:sz="6" w:space="0" w:color="000000"/>
              <w:right w:val="single" w:sz="6" w:space="0" w:color="000000"/>
            </w:tcBorders>
          </w:tcPr>
          <w:p w:rsidR="0092174D" w:rsidRPr="001A1B8D" w:rsidRDefault="0092174D"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460" w:type="dxa"/>
            <w:tcBorders>
              <w:top w:val="single" w:sz="6" w:space="0" w:color="000000"/>
              <w:bottom w:val="single" w:sz="6" w:space="0" w:color="000000"/>
              <w:right w:val="single" w:sz="6" w:space="0" w:color="000000"/>
            </w:tcBorders>
          </w:tcPr>
          <w:p w:rsidR="0092174D" w:rsidRPr="00006325" w:rsidRDefault="0092174D" w:rsidP="00006325">
            <w:pPr>
              <w:pStyle w:val="ListParagraph"/>
              <w:keepLines/>
              <w:numPr>
                <w:ilvl w:val="0"/>
                <w:numId w:val="17"/>
              </w:numPr>
              <w:spacing w:after="0" w:line="240" w:lineRule="auto"/>
              <w:ind w:left="255" w:hanging="255"/>
              <w:rPr>
                <w:rFonts w:ascii="Arial Narrow" w:hAnsi="Arial Narrow" w:cs="Tahoma"/>
                <w:color w:val="000000"/>
                <w:sz w:val="18"/>
                <w:szCs w:val="17"/>
              </w:rPr>
            </w:pPr>
            <w:r w:rsidRPr="00006325">
              <w:rPr>
                <w:rFonts w:ascii="Arial Narrow" w:hAnsi="Arial Narrow" w:cs="Tahoma"/>
                <w:color w:val="000000"/>
                <w:sz w:val="18"/>
                <w:szCs w:val="17"/>
              </w:rPr>
              <w:t>Number of training requests received during the reporting period.</w:t>
            </w: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18" w:lineRule="atLeast"/>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18" w:lineRule="atLeast"/>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Pr="00006325" w:rsidRDefault="0092174D" w:rsidP="00006325">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4484" w:type="dxa"/>
            <w:tcBorders>
              <w:top w:val="single" w:sz="6" w:space="0" w:color="000000"/>
              <w:bottom w:val="single" w:sz="6" w:space="0" w:color="000000"/>
              <w:right w:val="single" w:sz="6" w:space="0" w:color="000000"/>
            </w:tcBorders>
          </w:tcPr>
          <w:p w:rsidR="0092174D" w:rsidRPr="001A1B8D" w:rsidRDefault="0092174D"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460" w:type="dxa"/>
            <w:tcBorders>
              <w:top w:val="single" w:sz="6" w:space="0" w:color="000000"/>
              <w:bottom w:val="single" w:sz="6" w:space="0" w:color="000000"/>
              <w:right w:val="single" w:sz="6" w:space="0" w:color="000000"/>
            </w:tcBorders>
          </w:tcPr>
          <w:p w:rsidR="0092174D" w:rsidRPr="00006325" w:rsidRDefault="0092174D" w:rsidP="00006325">
            <w:pPr>
              <w:pStyle w:val="ListParagraph"/>
              <w:keepLines/>
              <w:numPr>
                <w:ilvl w:val="0"/>
                <w:numId w:val="18"/>
              </w:numPr>
              <w:spacing w:after="0" w:line="240" w:lineRule="auto"/>
              <w:ind w:left="255" w:hanging="255"/>
              <w:rPr>
                <w:rFonts w:ascii="Arial Narrow" w:hAnsi="Arial Narrow" w:cs="Tahoma"/>
                <w:color w:val="000000"/>
                <w:sz w:val="18"/>
                <w:szCs w:val="17"/>
              </w:rPr>
            </w:pPr>
            <w:r w:rsidRPr="00006325">
              <w:rPr>
                <w:rFonts w:ascii="Arial Narrow" w:hAnsi="Arial Narrow" w:cs="Tahoma"/>
                <w:color w:val="000000"/>
                <w:sz w:val="18"/>
                <w:szCs w:val="17"/>
              </w:rPr>
              <w:t>Number of technical assistance requests received during the reporting period</w:t>
            </w: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18" w:lineRule="atLeast"/>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18" w:lineRule="atLeast"/>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Pr="0033348B" w:rsidRDefault="0092174D" w:rsidP="00293CED">
            <w:pPr>
              <w:spacing w:after="0" w:line="240" w:lineRule="auto"/>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484" w:type="dxa"/>
            <w:tcBorders>
              <w:top w:val="single" w:sz="6" w:space="0" w:color="000000"/>
              <w:bottom w:val="single" w:sz="6" w:space="0" w:color="000000"/>
              <w:right w:val="single" w:sz="6" w:space="0" w:color="000000"/>
            </w:tcBorders>
          </w:tcPr>
          <w:p w:rsidR="0092174D" w:rsidRPr="0033348B" w:rsidRDefault="0092174D"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460" w:type="dxa"/>
            <w:tcBorders>
              <w:top w:val="single" w:sz="6" w:space="0" w:color="000000"/>
              <w:bottom w:val="single" w:sz="6" w:space="0" w:color="000000"/>
              <w:right w:val="single" w:sz="6" w:space="0" w:color="000000"/>
            </w:tcBorders>
          </w:tcPr>
          <w:p w:rsidR="0092174D" w:rsidRPr="00006325" w:rsidRDefault="0092174D" w:rsidP="00006325">
            <w:pPr>
              <w:pStyle w:val="ListParagraph"/>
              <w:keepLines/>
              <w:numPr>
                <w:ilvl w:val="0"/>
                <w:numId w:val="19"/>
              </w:numPr>
              <w:spacing w:after="0" w:line="240" w:lineRule="auto"/>
              <w:ind w:left="255" w:hanging="255"/>
              <w:rPr>
                <w:rFonts w:ascii="Arial Narrow" w:hAnsi="Arial Narrow" w:cs="Tahoma"/>
                <w:color w:val="000000"/>
                <w:sz w:val="18"/>
                <w:szCs w:val="17"/>
              </w:rPr>
            </w:pPr>
            <w:r w:rsidRPr="00006325">
              <w:rPr>
                <w:rFonts w:ascii="Arial Narrow" w:hAnsi="Arial Narrow" w:cs="Tahoma"/>
                <w:color w:val="000000"/>
                <w:sz w:val="18"/>
                <w:szCs w:val="17"/>
              </w:rPr>
              <w:t>Number of program materials developed</w:t>
            </w: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18" w:lineRule="atLeast"/>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18" w:lineRule="atLeast"/>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Pr="0040497B" w:rsidRDefault="0092174D" w:rsidP="00293CED">
            <w:pPr>
              <w:spacing w:after="0" w:line="240" w:lineRule="auto"/>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484" w:type="dxa"/>
            <w:tcBorders>
              <w:top w:val="single" w:sz="6" w:space="0" w:color="000000"/>
              <w:bottom w:val="single" w:sz="6" w:space="0" w:color="000000"/>
              <w:right w:val="single" w:sz="6" w:space="0" w:color="000000"/>
            </w:tcBorders>
          </w:tcPr>
          <w:p w:rsidR="0092174D" w:rsidRPr="0040497B" w:rsidRDefault="0092174D" w:rsidP="00293CED">
            <w:pPr>
              <w:keepLines/>
              <w:spacing w:after="0"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460" w:type="dxa"/>
            <w:tcBorders>
              <w:top w:val="single" w:sz="6" w:space="0" w:color="000000"/>
              <w:bottom w:val="single" w:sz="6" w:space="0" w:color="000000"/>
              <w:right w:val="single" w:sz="6" w:space="0" w:color="000000"/>
            </w:tcBorders>
          </w:tcPr>
          <w:p w:rsidR="0092174D" w:rsidRPr="00006325" w:rsidRDefault="0092174D" w:rsidP="00006325">
            <w:pPr>
              <w:pStyle w:val="ListParagraph"/>
              <w:keepLines/>
              <w:numPr>
                <w:ilvl w:val="0"/>
                <w:numId w:val="20"/>
              </w:numPr>
              <w:spacing w:after="0" w:line="240" w:lineRule="auto"/>
              <w:ind w:left="255" w:hanging="255"/>
              <w:rPr>
                <w:rFonts w:ascii="Arial Narrow" w:hAnsi="Arial Narrow" w:cs="Tahoma"/>
                <w:color w:val="000000"/>
                <w:sz w:val="18"/>
                <w:szCs w:val="17"/>
              </w:rPr>
            </w:pPr>
            <w:r w:rsidRPr="00006325">
              <w:rPr>
                <w:rFonts w:ascii="Arial Narrow" w:hAnsi="Arial Narrow" w:cs="Tahoma"/>
                <w:color w:val="000000"/>
                <w:sz w:val="18"/>
                <w:szCs w:val="17"/>
              </w:rPr>
              <w:t>Number of planning or training activities held during the reporting period</w:t>
            </w: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18" w:lineRule="atLeast"/>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18" w:lineRule="atLeast"/>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Pr="0033348B" w:rsidRDefault="0092174D" w:rsidP="00293CED">
            <w:pPr>
              <w:spacing w:after="0" w:line="240" w:lineRule="auto"/>
              <w:rPr>
                <w:rFonts w:ascii="Arial Narrow" w:hAnsi="Arial Narrow" w:cs="Tahoma"/>
                <w:sz w:val="18"/>
                <w:szCs w:val="18"/>
              </w:rPr>
            </w:pPr>
            <w:r w:rsidRPr="007F4E33">
              <w:rPr>
                <w:rFonts w:ascii="Arial Narrow" w:hAnsi="Arial Narrow" w:cs="Tahoma"/>
                <w:sz w:val="18"/>
                <w:szCs w:val="18"/>
              </w:rPr>
              <w:t>Number of people trained during the reporting period</w:t>
            </w:r>
          </w:p>
        </w:tc>
        <w:tc>
          <w:tcPr>
            <w:tcW w:w="4484" w:type="dxa"/>
            <w:tcBorders>
              <w:top w:val="single" w:sz="6" w:space="0" w:color="000000"/>
              <w:bottom w:val="single" w:sz="6" w:space="0" w:color="000000"/>
              <w:right w:val="single" w:sz="6" w:space="0" w:color="000000"/>
            </w:tcBorders>
          </w:tcPr>
          <w:p w:rsidR="0092174D" w:rsidRPr="0033348B" w:rsidRDefault="0092174D"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460" w:type="dxa"/>
            <w:tcBorders>
              <w:top w:val="single" w:sz="6" w:space="0" w:color="000000"/>
              <w:bottom w:val="single" w:sz="6" w:space="0" w:color="000000"/>
              <w:right w:val="single" w:sz="6" w:space="0" w:color="000000"/>
            </w:tcBorders>
          </w:tcPr>
          <w:p w:rsidR="0092174D" w:rsidRPr="00006325" w:rsidRDefault="0092174D" w:rsidP="00006325">
            <w:pPr>
              <w:pStyle w:val="ListParagraph"/>
              <w:keepLines/>
              <w:numPr>
                <w:ilvl w:val="0"/>
                <w:numId w:val="21"/>
              </w:numPr>
              <w:spacing w:after="0" w:line="240" w:lineRule="auto"/>
              <w:ind w:left="255" w:hanging="255"/>
              <w:rPr>
                <w:rFonts w:ascii="Arial Narrow" w:hAnsi="Arial Narrow" w:cs="Tahoma"/>
                <w:color w:val="000000"/>
                <w:sz w:val="18"/>
                <w:szCs w:val="17"/>
              </w:rPr>
            </w:pPr>
            <w:r w:rsidRPr="00006325">
              <w:rPr>
                <w:rFonts w:ascii="Arial Narrow" w:hAnsi="Arial Narrow" w:cs="Tahoma"/>
                <w:color w:val="000000"/>
                <w:sz w:val="18"/>
                <w:szCs w:val="17"/>
              </w:rPr>
              <w:t>Number of people trained</w:t>
            </w: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18" w:lineRule="atLeast"/>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18" w:lineRule="atLeast"/>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rsidR="0092174D" w:rsidRPr="001A1B8D" w:rsidRDefault="0092174D" w:rsidP="00293CED">
            <w:pPr>
              <w:keepLines/>
              <w:spacing w:after="0" w:line="218" w:lineRule="atLeast"/>
              <w:rPr>
                <w:rFonts w:ascii="Arial Narrow" w:hAnsi="Arial Narrow" w:cs="Tahoma"/>
                <w:color w:val="000000"/>
                <w:sz w:val="18"/>
                <w:szCs w:val="17"/>
              </w:rPr>
            </w:pPr>
          </w:p>
        </w:tc>
        <w:tc>
          <w:tcPr>
            <w:tcW w:w="4484" w:type="dxa"/>
            <w:tcBorders>
              <w:top w:val="single" w:sz="6" w:space="0" w:color="000000"/>
              <w:bottom w:val="single" w:sz="6" w:space="0" w:color="000000"/>
              <w:right w:val="single" w:sz="6" w:space="0" w:color="000000"/>
            </w:tcBorders>
          </w:tcPr>
          <w:p w:rsidR="0092174D" w:rsidRPr="001A1B8D" w:rsidRDefault="0092174D"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460" w:type="dxa"/>
            <w:tcBorders>
              <w:top w:val="single" w:sz="6" w:space="0" w:color="000000"/>
              <w:bottom w:val="single" w:sz="6" w:space="0" w:color="000000"/>
              <w:right w:val="single" w:sz="6" w:space="0" w:color="000000"/>
            </w:tcBorders>
          </w:tcPr>
          <w:p w:rsidR="0092174D" w:rsidRPr="00006325" w:rsidRDefault="0092174D" w:rsidP="00006325">
            <w:pPr>
              <w:pStyle w:val="ListParagraph"/>
              <w:keepLines/>
              <w:numPr>
                <w:ilvl w:val="0"/>
                <w:numId w:val="22"/>
              </w:numPr>
              <w:spacing w:after="0" w:line="240" w:lineRule="auto"/>
              <w:ind w:left="255" w:hanging="270"/>
              <w:rPr>
                <w:rFonts w:ascii="Arial Narrow" w:hAnsi="Arial Narrow" w:cs="Tahoma"/>
                <w:color w:val="000000"/>
                <w:sz w:val="18"/>
                <w:szCs w:val="17"/>
              </w:rPr>
            </w:pPr>
            <w:r w:rsidRPr="00006325">
              <w:rPr>
                <w:rFonts w:ascii="Arial Narrow" w:hAnsi="Arial Narrow" w:cs="Tahoma"/>
                <w:color w:val="000000"/>
                <w:sz w:val="18"/>
                <w:szCs w:val="17"/>
              </w:rPr>
              <w:t>Number of programs served by TTA that reported using an evidence-based program and / or practice.</w:t>
            </w:r>
          </w:p>
          <w:p w:rsidR="0092174D" w:rsidRPr="00006325" w:rsidRDefault="0092174D" w:rsidP="00006325">
            <w:pPr>
              <w:pStyle w:val="ListParagraph"/>
              <w:keepLines/>
              <w:numPr>
                <w:ilvl w:val="0"/>
                <w:numId w:val="22"/>
              </w:numPr>
              <w:spacing w:after="0" w:line="240" w:lineRule="auto"/>
              <w:ind w:left="255" w:hanging="255"/>
              <w:rPr>
                <w:rFonts w:ascii="Arial Narrow" w:hAnsi="Arial Narrow" w:cs="Tahoma"/>
                <w:color w:val="000000"/>
                <w:sz w:val="18"/>
                <w:szCs w:val="17"/>
              </w:rPr>
            </w:pPr>
            <w:r w:rsidRPr="00006325">
              <w:rPr>
                <w:rFonts w:ascii="Arial Narrow" w:hAnsi="Arial Narrow" w:cs="Tahoma"/>
                <w:color w:val="000000"/>
                <w:sz w:val="18"/>
                <w:szCs w:val="17"/>
              </w:rPr>
              <w:t>Number of programs served by TTA</w:t>
            </w:r>
          </w:p>
          <w:p w:rsidR="0092174D" w:rsidRPr="0040497B" w:rsidRDefault="0092174D" w:rsidP="00006325">
            <w:pPr>
              <w:pStyle w:val="ListParagraph"/>
              <w:keepLines/>
              <w:numPr>
                <w:ilvl w:val="0"/>
                <w:numId w:val="22"/>
              </w:numPr>
              <w:spacing w:after="0" w:line="240" w:lineRule="auto"/>
              <w:ind w:left="255" w:hanging="255"/>
              <w:rPr>
                <w:rFonts w:ascii="Arial Narrow" w:hAnsi="Arial Narrow" w:cs="Tahoma"/>
                <w:sz w:val="18"/>
                <w:szCs w:val="18"/>
              </w:rPr>
            </w:pPr>
            <w:r w:rsidRPr="00006325">
              <w:rPr>
                <w:rFonts w:ascii="Arial Narrow" w:hAnsi="Arial Narrow" w:cs="Tahoma"/>
                <w:color w:val="000000"/>
                <w:sz w:val="18"/>
                <w:szCs w:val="17"/>
              </w:rPr>
              <w:t>Percent of programs served by TTA that report using an evidence-based program and / or practice (A/B)</w:t>
            </w: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18" w:lineRule="atLeast"/>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18" w:lineRule="atLeast"/>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92174D" w:rsidRPr="00904641" w:rsidRDefault="0092174D" w:rsidP="00293CED">
            <w:pPr>
              <w:keepLines/>
              <w:spacing w:after="0" w:line="240" w:lineRule="auto"/>
              <w:rPr>
                <w:rFonts w:ascii="Arial Narrow" w:hAnsi="Arial Narrow" w:cs="Tahoma"/>
                <w:bCs/>
                <w:sz w:val="18"/>
                <w:szCs w:val="18"/>
              </w:rPr>
            </w:pPr>
          </w:p>
        </w:tc>
        <w:tc>
          <w:tcPr>
            <w:tcW w:w="4484" w:type="dxa"/>
            <w:tcBorders>
              <w:top w:val="single" w:sz="6" w:space="0" w:color="000000"/>
              <w:bottom w:val="single" w:sz="6" w:space="0" w:color="000000"/>
              <w:right w:val="single" w:sz="6" w:space="0" w:color="000000"/>
            </w:tcBorders>
          </w:tcPr>
          <w:p w:rsidR="0092174D" w:rsidRPr="00904641" w:rsidRDefault="0092174D"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460" w:type="dxa"/>
            <w:tcBorders>
              <w:top w:val="single" w:sz="6" w:space="0" w:color="000000"/>
              <w:bottom w:val="single" w:sz="6" w:space="0" w:color="000000"/>
              <w:right w:val="single" w:sz="6" w:space="0" w:color="000000"/>
            </w:tcBorders>
          </w:tcPr>
          <w:p w:rsidR="0092174D" w:rsidRPr="0040497B" w:rsidRDefault="0092174D" w:rsidP="0092174D">
            <w:pPr>
              <w:keepLines/>
              <w:numPr>
                <w:ilvl w:val="0"/>
                <w:numId w:val="1"/>
              </w:numPr>
              <w:tabs>
                <w:tab w:val="left" w:pos="288"/>
              </w:tabs>
              <w:spacing w:after="0" w:line="240" w:lineRule="auto"/>
              <w:ind w:left="291" w:hanging="270"/>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92174D" w:rsidRPr="0040497B" w:rsidRDefault="0092174D" w:rsidP="0092174D">
            <w:pPr>
              <w:keepLines/>
              <w:numPr>
                <w:ilvl w:val="0"/>
                <w:numId w:val="1"/>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92174D" w:rsidRPr="0040497B" w:rsidRDefault="0092174D" w:rsidP="0092174D">
            <w:pPr>
              <w:keepLines/>
              <w:numPr>
                <w:ilvl w:val="0"/>
                <w:numId w:val="1"/>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18" w:lineRule="atLeast"/>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18" w:lineRule="atLeast"/>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92174D" w:rsidRPr="00417A72" w:rsidRDefault="0092174D" w:rsidP="00293CED">
            <w:pPr>
              <w:keepLines/>
              <w:spacing w:after="0" w:line="240" w:lineRule="auto"/>
              <w:rPr>
                <w:rFonts w:ascii="Arial Narrow" w:hAnsi="Arial Narrow" w:cs="Tahoma"/>
                <w:bCs/>
                <w:sz w:val="18"/>
                <w:szCs w:val="18"/>
              </w:rPr>
            </w:pPr>
          </w:p>
        </w:tc>
        <w:tc>
          <w:tcPr>
            <w:tcW w:w="4484" w:type="dxa"/>
            <w:tcBorders>
              <w:top w:val="single" w:sz="6" w:space="0" w:color="000000"/>
              <w:bottom w:val="single" w:sz="6" w:space="0" w:color="000000"/>
              <w:right w:val="single" w:sz="6" w:space="0" w:color="000000"/>
            </w:tcBorders>
          </w:tcPr>
          <w:p w:rsidR="0092174D" w:rsidRPr="00417A72" w:rsidRDefault="0092174D"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460" w:type="dxa"/>
            <w:tcBorders>
              <w:top w:val="single" w:sz="6" w:space="0" w:color="000000"/>
              <w:bottom w:val="single" w:sz="6" w:space="0" w:color="000000"/>
              <w:right w:val="single" w:sz="6" w:space="0" w:color="000000"/>
            </w:tcBorders>
          </w:tcPr>
          <w:p w:rsidR="0092174D" w:rsidRPr="0040497B" w:rsidRDefault="0092174D" w:rsidP="0092174D">
            <w:pPr>
              <w:keepLines/>
              <w:numPr>
                <w:ilvl w:val="0"/>
                <w:numId w:val="8"/>
              </w:numPr>
              <w:tabs>
                <w:tab w:val="left" w:pos="285"/>
              </w:tabs>
              <w:spacing w:after="0" w:line="240" w:lineRule="auto"/>
              <w:ind w:left="291" w:hanging="270"/>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92174D" w:rsidRPr="0040497B" w:rsidRDefault="0092174D" w:rsidP="0092174D">
            <w:pPr>
              <w:keepLines/>
              <w:numPr>
                <w:ilvl w:val="0"/>
                <w:numId w:val="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18" w:lineRule="atLeast"/>
              <w:rPr>
                <w:rFonts w:ascii="Arial Narrow" w:hAnsi="Arial Narrow" w:cs="Tahoma"/>
                <w:color w:val="000000"/>
                <w:sz w:val="18"/>
                <w:szCs w:val="17"/>
              </w:rPr>
            </w:pPr>
          </w:p>
        </w:tc>
      </w:tr>
      <w:tr w:rsidR="0092174D" w:rsidRPr="00496B95" w:rsidTr="00006325">
        <w:trPr>
          <w:cantSplit/>
        </w:trPr>
        <w:tc>
          <w:tcPr>
            <w:tcW w:w="34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18" w:lineRule="atLeast"/>
              <w:rPr>
                <w:rFonts w:ascii="Arial Narrow" w:hAnsi="Arial Narrow" w:cs="Tahoma"/>
                <w:color w:val="000000"/>
                <w:sz w:val="18"/>
                <w:szCs w:val="17"/>
              </w:rPr>
            </w:pPr>
          </w:p>
        </w:tc>
        <w:tc>
          <w:tcPr>
            <w:tcW w:w="2026" w:type="dxa"/>
            <w:tcBorders>
              <w:top w:val="single" w:sz="6" w:space="0" w:color="000000"/>
              <w:left w:val="single" w:sz="6" w:space="0" w:color="000000"/>
              <w:bottom w:val="single" w:sz="6" w:space="0" w:color="000000"/>
              <w:right w:val="single" w:sz="6" w:space="0" w:color="000000"/>
            </w:tcBorders>
          </w:tcPr>
          <w:p w:rsidR="0092174D" w:rsidRPr="0033348B" w:rsidRDefault="0092174D"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484" w:type="dxa"/>
            <w:tcBorders>
              <w:top w:val="single" w:sz="6" w:space="0" w:color="000000"/>
              <w:bottom w:val="single" w:sz="6" w:space="0" w:color="000000"/>
              <w:right w:val="single" w:sz="6" w:space="0" w:color="000000"/>
            </w:tcBorders>
          </w:tcPr>
          <w:p w:rsidR="0092174D" w:rsidRPr="0033348B" w:rsidRDefault="0092174D"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460" w:type="dxa"/>
            <w:tcBorders>
              <w:top w:val="single" w:sz="6" w:space="0" w:color="000000"/>
              <w:bottom w:val="single" w:sz="6" w:space="0" w:color="000000"/>
              <w:right w:val="single" w:sz="6" w:space="0" w:color="000000"/>
            </w:tcBorders>
          </w:tcPr>
          <w:p w:rsidR="0092174D" w:rsidRPr="0040497B" w:rsidRDefault="0092174D" w:rsidP="0092174D">
            <w:pPr>
              <w:keepLines/>
              <w:numPr>
                <w:ilvl w:val="0"/>
                <w:numId w:val="9"/>
              </w:numPr>
              <w:tabs>
                <w:tab w:val="left" w:pos="288"/>
              </w:tabs>
              <w:spacing w:after="0" w:line="240" w:lineRule="auto"/>
              <w:ind w:left="291" w:hanging="270"/>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92174D" w:rsidRPr="0040497B" w:rsidRDefault="0092174D" w:rsidP="0092174D">
            <w:pPr>
              <w:keepLines/>
              <w:numPr>
                <w:ilvl w:val="0"/>
                <w:numId w:val="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92174D" w:rsidRPr="0040497B" w:rsidRDefault="0092174D" w:rsidP="0092174D">
            <w:pPr>
              <w:keepLines/>
              <w:numPr>
                <w:ilvl w:val="0"/>
                <w:numId w:val="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466" w:type="dxa"/>
            <w:tcBorders>
              <w:top w:val="single" w:sz="6" w:space="0" w:color="000000"/>
              <w:bottom w:val="single" w:sz="6" w:space="0" w:color="000000"/>
              <w:right w:val="single" w:sz="6" w:space="0" w:color="000000"/>
            </w:tcBorders>
          </w:tcPr>
          <w:p w:rsidR="0092174D" w:rsidRDefault="0092174D" w:rsidP="00293CED">
            <w:pPr>
              <w:keepLines/>
              <w:spacing w:after="0" w:line="218" w:lineRule="atLeast"/>
              <w:rPr>
                <w:rFonts w:ascii="Arial Narrow" w:hAnsi="Arial Narrow" w:cs="Tahoma"/>
                <w:color w:val="000000"/>
                <w:sz w:val="18"/>
                <w:szCs w:val="17"/>
              </w:rPr>
            </w:pPr>
          </w:p>
        </w:tc>
      </w:tr>
    </w:tbl>
    <w:p w:rsidR="007F62EE" w:rsidRDefault="007F62EE"/>
    <w:p w:rsidR="0092174D" w:rsidRDefault="0092174D"/>
    <w:p w:rsidR="0092174D" w:rsidRDefault="0092174D"/>
    <w:p w:rsidR="0092174D" w:rsidRDefault="0092174D"/>
    <w:p w:rsidR="0092174D" w:rsidRDefault="0092174D"/>
    <w:p w:rsidR="0092174D" w:rsidRDefault="0092174D"/>
    <w:p w:rsidR="0092174D" w:rsidRDefault="0092174D"/>
    <w:p w:rsidR="0092174D" w:rsidRDefault="0092174D"/>
    <w:p w:rsidR="0092174D" w:rsidRDefault="0092174D"/>
    <w:p w:rsidR="0092174D" w:rsidRDefault="0092174D"/>
    <w:p w:rsidR="0092174D" w:rsidRDefault="0092174D"/>
    <w:p w:rsidR="0092174D" w:rsidRDefault="0092174D"/>
    <w:p w:rsidR="0092174D" w:rsidRDefault="0092174D"/>
    <w:p w:rsidR="0092174D" w:rsidRDefault="0092174D"/>
    <w:tbl>
      <w:tblPr>
        <w:tblW w:w="5000" w:type="pct"/>
        <w:tblCellMar>
          <w:top w:w="75" w:type="dxa"/>
          <w:left w:w="75" w:type="dxa"/>
          <w:bottom w:w="75" w:type="dxa"/>
          <w:right w:w="75" w:type="dxa"/>
        </w:tblCellMar>
        <w:tblLook w:val="0000" w:firstRow="0" w:lastRow="0" w:firstColumn="0" w:lastColumn="0" w:noHBand="0" w:noVBand="0"/>
      </w:tblPr>
      <w:tblGrid>
        <w:gridCol w:w="355"/>
        <w:gridCol w:w="2108"/>
        <w:gridCol w:w="4150"/>
        <w:gridCol w:w="2812"/>
        <w:gridCol w:w="1525"/>
      </w:tblGrid>
      <w:tr w:rsidR="0092174D" w:rsidRPr="00636FE4" w:rsidTr="00006325">
        <w:trPr>
          <w:cantSplit/>
          <w:trHeight w:val="205"/>
          <w:tblHeader/>
        </w:trPr>
        <w:tc>
          <w:tcPr>
            <w:tcW w:w="355" w:type="dxa"/>
            <w:tcBorders>
              <w:left w:val="single" w:sz="4" w:space="0" w:color="auto"/>
              <w:bottom w:val="single" w:sz="6" w:space="0" w:color="000000"/>
              <w:right w:val="single" w:sz="6" w:space="0" w:color="FFFFFF"/>
            </w:tcBorders>
            <w:shd w:val="clear" w:color="auto" w:fill="003366"/>
            <w:vAlign w:val="center"/>
          </w:tcPr>
          <w:p w:rsidR="0092174D" w:rsidRPr="00006325" w:rsidRDefault="0092174D" w:rsidP="00293CED">
            <w:pPr>
              <w:keepLines/>
              <w:spacing w:after="0" w:line="240" w:lineRule="auto"/>
              <w:rPr>
                <w:rFonts w:ascii="Arial Narrow Bold" w:hAnsi="Arial Narrow Bold" w:cs="Tahoma"/>
                <w:b/>
                <w:color w:val="FFFFFF"/>
                <w:sz w:val="18"/>
                <w:szCs w:val="18"/>
              </w:rPr>
            </w:pPr>
            <w:r w:rsidRPr="00006325">
              <w:rPr>
                <w:rStyle w:val="Strong"/>
                <w:rFonts w:ascii="Arial Narrow Bold" w:hAnsi="Arial Narrow Bold" w:cs="Tahoma"/>
                <w:color w:val="FFFFFF"/>
                <w:sz w:val="18"/>
                <w:szCs w:val="18"/>
              </w:rPr>
              <w:lastRenderedPageBreak/>
              <w:t>#</w:t>
            </w:r>
          </w:p>
        </w:tc>
        <w:tc>
          <w:tcPr>
            <w:tcW w:w="2112" w:type="dxa"/>
            <w:tcBorders>
              <w:left w:val="single" w:sz="6" w:space="0" w:color="FFFFFF"/>
              <w:bottom w:val="single" w:sz="6" w:space="0" w:color="000000"/>
              <w:right w:val="single" w:sz="6" w:space="0" w:color="FFFFFF"/>
            </w:tcBorders>
            <w:shd w:val="clear" w:color="auto" w:fill="003366"/>
            <w:vAlign w:val="center"/>
          </w:tcPr>
          <w:p w:rsidR="0092174D" w:rsidRPr="00006325" w:rsidRDefault="0092174D" w:rsidP="00293CED">
            <w:pPr>
              <w:keepLines/>
              <w:spacing w:after="0" w:line="240" w:lineRule="auto"/>
              <w:rPr>
                <w:rFonts w:ascii="Arial Narrow Bold" w:hAnsi="Arial Narrow Bold" w:cs="Tahoma"/>
                <w:b/>
                <w:color w:val="FFFFFF"/>
                <w:sz w:val="18"/>
                <w:szCs w:val="18"/>
              </w:rPr>
            </w:pPr>
            <w:r w:rsidRPr="00006325">
              <w:rPr>
                <w:rStyle w:val="Strong"/>
                <w:rFonts w:ascii="Arial Narrow Bold" w:hAnsi="Arial Narrow Bold" w:cs="Tahoma"/>
                <w:color w:val="FFFFFF"/>
                <w:sz w:val="18"/>
                <w:szCs w:val="18"/>
              </w:rPr>
              <w:t>Outcome Measure</w:t>
            </w:r>
          </w:p>
        </w:tc>
        <w:tc>
          <w:tcPr>
            <w:tcW w:w="4166" w:type="dxa"/>
            <w:tcBorders>
              <w:left w:val="single" w:sz="6" w:space="0" w:color="FFFFFF"/>
              <w:bottom w:val="single" w:sz="6" w:space="0" w:color="000000"/>
              <w:right w:val="single" w:sz="6" w:space="0" w:color="FFFFFF"/>
            </w:tcBorders>
            <w:shd w:val="clear" w:color="auto" w:fill="003366"/>
            <w:vAlign w:val="center"/>
          </w:tcPr>
          <w:p w:rsidR="0092174D" w:rsidRPr="00006325" w:rsidRDefault="0092174D" w:rsidP="00293CED">
            <w:pPr>
              <w:keepLines/>
              <w:spacing w:after="0" w:line="240" w:lineRule="auto"/>
              <w:rPr>
                <w:rFonts w:ascii="Arial Narrow Bold" w:hAnsi="Arial Narrow Bold" w:cs="Tahoma"/>
                <w:b/>
                <w:color w:val="FFFFFF"/>
                <w:sz w:val="18"/>
                <w:szCs w:val="18"/>
              </w:rPr>
            </w:pPr>
            <w:r w:rsidRPr="00006325">
              <w:rPr>
                <w:rStyle w:val="Strong"/>
                <w:rFonts w:ascii="Arial Narrow Bold" w:hAnsi="Arial Narrow Bold" w:cs="Tahoma"/>
                <w:color w:val="FFFFFF"/>
                <w:sz w:val="18"/>
                <w:szCs w:val="18"/>
              </w:rPr>
              <w:t>Definition</w:t>
            </w:r>
          </w:p>
        </w:tc>
        <w:tc>
          <w:tcPr>
            <w:tcW w:w="2812" w:type="dxa"/>
            <w:tcBorders>
              <w:left w:val="single" w:sz="6" w:space="0" w:color="FFFFFF"/>
              <w:bottom w:val="single" w:sz="6" w:space="0" w:color="000000"/>
              <w:right w:val="single" w:sz="6" w:space="0" w:color="FFFFFF"/>
            </w:tcBorders>
            <w:shd w:val="clear" w:color="auto" w:fill="003366"/>
            <w:noWrap/>
            <w:vAlign w:val="center"/>
          </w:tcPr>
          <w:p w:rsidR="0092174D" w:rsidRPr="00006325" w:rsidRDefault="0092174D" w:rsidP="00293CED">
            <w:pPr>
              <w:keepLines/>
              <w:spacing w:after="0" w:line="240" w:lineRule="auto"/>
              <w:rPr>
                <w:rFonts w:ascii="Arial Narrow Bold" w:hAnsi="Arial Narrow Bold" w:cs="Tahoma"/>
                <w:b/>
                <w:color w:val="FFFFFF"/>
                <w:sz w:val="18"/>
                <w:szCs w:val="18"/>
              </w:rPr>
            </w:pPr>
            <w:r w:rsidRPr="00006325">
              <w:rPr>
                <w:rStyle w:val="Strong"/>
                <w:rFonts w:ascii="Arial Narrow Bold" w:hAnsi="Arial Narrow Bold" w:cs="Tahoma"/>
                <w:color w:val="FFFFFF"/>
                <w:sz w:val="18"/>
                <w:szCs w:val="18"/>
              </w:rPr>
              <w:t>Data Grantee Provides</w:t>
            </w:r>
          </w:p>
        </w:tc>
        <w:tc>
          <w:tcPr>
            <w:tcW w:w="1530" w:type="dxa"/>
            <w:tcBorders>
              <w:left w:val="single" w:sz="6" w:space="0" w:color="FFFFFF"/>
              <w:bottom w:val="single" w:sz="6" w:space="0" w:color="000000"/>
              <w:right w:val="single" w:sz="6" w:space="0" w:color="000000"/>
            </w:tcBorders>
            <w:shd w:val="clear" w:color="auto" w:fill="003366"/>
          </w:tcPr>
          <w:p w:rsidR="0092174D" w:rsidRPr="00006325" w:rsidRDefault="0092174D" w:rsidP="00293CED">
            <w:pPr>
              <w:keepLines/>
              <w:spacing w:after="0" w:line="240" w:lineRule="auto"/>
              <w:rPr>
                <w:rStyle w:val="Strong"/>
                <w:rFonts w:ascii="Arial Narrow Bold" w:hAnsi="Arial Narrow Bold" w:cs="Tahoma"/>
                <w:color w:val="FFFFFF"/>
                <w:sz w:val="18"/>
                <w:szCs w:val="18"/>
              </w:rPr>
            </w:pPr>
            <w:r w:rsidRPr="00006325">
              <w:rPr>
                <w:rStyle w:val="Strong"/>
                <w:rFonts w:ascii="Arial Narrow Bold" w:hAnsi="Arial Narrow Bold" w:cs="Tahoma"/>
                <w:color w:val="FFFFFF"/>
                <w:sz w:val="18"/>
                <w:szCs w:val="18"/>
              </w:rPr>
              <w:t>Record Data Here</w:t>
            </w: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clinical treatment slots available to the drug court</w:t>
            </w:r>
            <w:r>
              <w:rPr>
                <w:rFonts w:ascii="Arial Narrow" w:hAnsi="Arial Narrow" w:cs="Tahoma"/>
                <w:color w:val="000000"/>
                <w:sz w:val="18"/>
                <w:szCs w:val="17"/>
              </w:rPr>
              <w:t xml:space="preserve"> (short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for a specialty court to be effective, it has to have adequate ability to refer youth to needed services. Appropriate for any drug court. Report the number of clinical treatment slots to which the drug court can refer youth. For example, if the court is able to refer 10 youth to residential drug treatment, 15 youth to outpatient mental health services, and 30 youth for physical examinations at any one time, the program would report having 55 slots.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clinical treatment slots</w:t>
            </w:r>
          </w:p>
          <w:p w:rsidR="0092174D" w:rsidRDefault="0092174D" w:rsidP="00293CED">
            <w:pPr>
              <w:keepLines/>
              <w:spacing w:after="0" w:line="240" w:lineRule="auto"/>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types of treatment (clinical) offered through the drug court</w:t>
            </w:r>
            <w:r>
              <w:rPr>
                <w:rFonts w:ascii="Arial Narrow" w:hAnsi="Arial Narrow" w:cs="Tahoma"/>
                <w:color w:val="000000"/>
                <w:sz w:val="18"/>
                <w:szCs w:val="17"/>
              </w:rPr>
              <w:t xml:space="preserve"> (short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for a specialty court to be effective, it has to have adequate ability to refer youth to needed services. Appropriate for any drug court. Report the number of different types of clinical treatment to which the drug court can refer youth. Include treatment a type for which there is an agreement or history of referral, not treatment types that the court can refer to if a need arises. Clinical treatment includes services provided by a licensed professional such as a medical doctor, psychologist, licensed social worker, certified family counselor, or certified addictions specialist.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types of clinical treatment available</w:t>
            </w:r>
          </w:p>
          <w:p w:rsidR="0092174D" w:rsidRDefault="0092174D" w:rsidP="00006325">
            <w:pPr>
              <w:keepLines/>
              <w:spacing w:after="0" w:line="240" w:lineRule="auto"/>
              <w:ind w:left="227" w:hanging="227"/>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service (non-clinical) slots offered through the drug court</w:t>
            </w:r>
            <w:r>
              <w:rPr>
                <w:rFonts w:ascii="Arial Narrow" w:hAnsi="Arial Narrow" w:cs="Tahoma"/>
                <w:color w:val="000000"/>
                <w:sz w:val="18"/>
                <w:szCs w:val="17"/>
              </w:rPr>
              <w:t xml:space="preserve"> (short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for a specialty court to be effective, it has to have adequate ability to refer youth to needed services. Appropriate for any drug court. Report the number of non-clinical service slots, to which the drug court can refer youth. For example, if the court is able to refer 10 youth to life skills training, 15 youth to vocational training, and 30 youth for GED classes, the program would report having 55 slots.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non-clinical service slots</w:t>
            </w:r>
          </w:p>
          <w:p w:rsidR="0092174D" w:rsidRDefault="0092174D" w:rsidP="00006325">
            <w:pPr>
              <w:keepLines/>
              <w:spacing w:after="0" w:line="240" w:lineRule="auto"/>
              <w:ind w:left="227" w:hanging="227"/>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types of non-clinical service offered through the drug court</w:t>
            </w:r>
            <w:r>
              <w:rPr>
                <w:rFonts w:ascii="Arial Narrow" w:hAnsi="Arial Narrow" w:cs="Tahoma"/>
                <w:color w:val="000000"/>
                <w:sz w:val="18"/>
                <w:szCs w:val="17"/>
              </w:rPr>
              <w:t xml:space="preserve"> (short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for a specialty court to be effective, it has to have adequate ability to refer youth to needed services. Appropriate for any drug court. Report the number of different types of non-clinical services to which the drug court can refer youth. Include service types for which there is an agreement or history of referral, not service types that the court can refer to if a need arises. For example, services may include transportation, food vouchers, housing assistance, or help getting back into school.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types of non-clinical services</w:t>
            </w:r>
          </w:p>
          <w:p w:rsidR="0092174D" w:rsidRDefault="0092174D" w:rsidP="00006325">
            <w:pPr>
              <w:keepLines/>
              <w:spacing w:after="0" w:line="240" w:lineRule="auto"/>
              <w:ind w:left="227" w:hanging="227"/>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Frequency of drug testing</w:t>
            </w:r>
            <w:r>
              <w:rPr>
                <w:rFonts w:ascii="Arial Narrow" w:hAnsi="Arial Narrow" w:cs="Tahoma"/>
                <w:color w:val="000000"/>
                <w:sz w:val="18"/>
                <w:szCs w:val="17"/>
              </w:rPr>
              <w:t xml:space="preserve"> (short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drug testing is a tool available to drug courts and can affect youth outcomes and system responses to youth. Report the ratio of number of drugs tests given by the number of days participating in the drug court. For example, if the drug court offered 500 tests and served 30 youth who averaged 120 days of drug court participation, the result would be an average of 17 tests per youth (500/30) or one test per youth every 7 days (120/17).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drug tests given</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drug court participants</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Average number of days of drug court participation per youth</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D.</w:t>
            </w:r>
            <w:r w:rsidRPr="00496B95">
              <w:rPr>
                <w:rFonts w:ascii="Arial Narrow" w:hAnsi="Arial Narrow" w:cs="Tahoma"/>
                <w:color w:val="000000"/>
                <w:sz w:val="18"/>
                <w:szCs w:val="17"/>
              </w:rPr>
              <w:tab/>
              <w:t>Frequency (c/(a/b)</w:t>
            </w:r>
          </w:p>
          <w:p w:rsidR="0092174D" w:rsidRDefault="0092174D" w:rsidP="00293CED">
            <w:pPr>
              <w:keepLines/>
              <w:spacing w:after="0" w:line="240" w:lineRule="auto"/>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eligible youth to enter the drug court</w:t>
            </w:r>
            <w:r>
              <w:rPr>
                <w:rFonts w:ascii="Arial Narrow" w:hAnsi="Arial Narrow" w:cs="Tahoma"/>
                <w:color w:val="000000"/>
                <w:sz w:val="18"/>
                <w:szCs w:val="17"/>
              </w:rPr>
              <w:t xml:space="preserve"> (intermediate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the system has a responsibility to serve as many eligible youth as possible. Appropriate for any drug court or larger jurisdiction that includes a drug court. Report the raw number of juveniles who actually become enrolled in the drug court. Enrollment may include things like signing a participation agreement, assignment of a drug court case specialist, or appearing before a drug court judge. Percent is the raw number divided by the number of juveniles who meet minimal drug court eligibility. For example, if eligibility is based on the commission of a certain group of crimes and 100 youth commit at least one of those crimes, and the drug court enrolls 30 people, the percent would be 30 percent.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youth enrolled</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youth eligible</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92174D" w:rsidRDefault="0092174D" w:rsidP="00006325">
            <w:pPr>
              <w:keepLines/>
              <w:spacing w:after="0" w:line="240" w:lineRule="auto"/>
              <w:ind w:left="227" w:hanging="227"/>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judicial contacts per youth participating in the drug court</w:t>
            </w:r>
            <w:r>
              <w:rPr>
                <w:rFonts w:ascii="Arial Narrow" w:hAnsi="Arial Narrow" w:cs="Tahoma"/>
                <w:color w:val="000000"/>
                <w:sz w:val="18"/>
                <w:szCs w:val="17"/>
              </w:rPr>
              <w:t xml:space="preserve"> (intermediate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specialty courts require strict monitoring of their participants. Appropriate for any drug court. Report the average number of judicial contacts with drug court participants per month. Specifically, take the number of judicial contacts with drug court youth in a 1-month period. Divide that number by the number of youth enrolled during any part of that month.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judicial contacts with youth</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youth enrolled in the drug court</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Number of contacts per youth (a/b)</w:t>
            </w:r>
          </w:p>
          <w:p w:rsidR="0092174D" w:rsidRDefault="0092174D" w:rsidP="00006325">
            <w:pPr>
              <w:keepLines/>
              <w:spacing w:after="0" w:line="240" w:lineRule="auto"/>
              <w:ind w:left="227" w:hanging="227"/>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hours of treatment received per youth participating in the drug court</w:t>
            </w:r>
            <w:r>
              <w:rPr>
                <w:rFonts w:ascii="Arial Narrow" w:hAnsi="Arial Narrow" w:cs="Tahoma"/>
                <w:color w:val="000000"/>
                <w:sz w:val="18"/>
                <w:szCs w:val="17"/>
              </w:rPr>
              <w:t xml:space="preserve"> (intermediate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specialty courts result in higher levels of treatment receipt than do traditional courts. Appropriate for any drug court. Report the average number of clinical treatment hours received per youth per month. Specifically, take the number of clinical treatment hours that drug court youth receive in a 1-month period. Divide that number by the number of youth enrolled during any part of that month. Clinical treatment includes services provided by a licensed professional such as a medical doctor, psychologist, licensed social worker, certified family counselor, or certified addictions specialist.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hours of clinical treatment received</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youth enrolled in the drug court</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Number of clinical hours per youth (a/b)</w:t>
            </w:r>
          </w:p>
          <w:p w:rsidR="0092174D" w:rsidRDefault="0092174D" w:rsidP="00006325">
            <w:pPr>
              <w:keepLines/>
              <w:spacing w:after="0" w:line="240" w:lineRule="auto"/>
              <w:ind w:left="227" w:hanging="227"/>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youth to test positive for drug use</w:t>
            </w:r>
            <w:r>
              <w:rPr>
                <w:rFonts w:ascii="Arial Narrow" w:hAnsi="Arial Narrow" w:cs="Tahoma"/>
                <w:color w:val="000000"/>
                <w:sz w:val="18"/>
                <w:szCs w:val="17"/>
              </w:rPr>
              <w:t xml:space="preserve"> (intermediate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youth accountability. Appropriate for any drug court. Report the raw number of youth to receive at least one positive drug test result. Percent is the raw number divided by the total number of youth tested.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youth to test positive</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youth enrolled</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92174D" w:rsidRDefault="0092174D" w:rsidP="00006325">
            <w:pPr>
              <w:keepLines/>
              <w:spacing w:after="0" w:line="240" w:lineRule="auto"/>
              <w:ind w:left="227" w:hanging="227"/>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Service intensity</w:t>
            </w:r>
            <w:r>
              <w:rPr>
                <w:rFonts w:ascii="Arial Narrow" w:hAnsi="Arial Narrow" w:cs="Tahoma"/>
                <w:color w:val="000000"/>
                <w:sz w:val="18"/>
                <w:szCs w:val="17"/>
              </w:rPr>
              <w:t xml:space="preserve"> (intermediate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specialty courts result in higher levels of service receipt than do traditional courts. Appropriate for any specialty court (e.g. gun court or drug court). Report the average number of days a non-clinical service was received by number of days enrolled in specialty court across youth. For example, services may include transportation, food vouchers, housing assistance, or help getting back into school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Average number of days of service per youth while enrolled</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Average number of days youth are enrolled</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92174D" w:rsidRDefault="0092174D" w:rsidP="00006325">
            <w:pPr>
              <w:keepLines/>
              <w:spacing w:after="0" w:line="240" w:lineRule="auto"/>
              <w:ind w:left="227" w:hanging="227"/>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families of participants to actually participate in at least one recommended service (not including court appearances)</w:t>
            </w:r>
            <w:r>
              <w:rPr>
                <w:rFonts w:ascii="Arial Narrow" w:hAnsi="Arial Narrow" w:cs="Tahoma"/>
                <w:color w:val="000000"/>
                <w:sz w:val="18"/>
                <w:szCs w:val="17"/>
              </w:rPr>
              <w:t xml:space="preserve"> (intermediate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client accountability. Appropriate for any drug court program. Report the raw number of families with a member enrolled in the drug court to participate in at least one drug court service or treatment. Do not include appearances by family members at court dates or family members who solely drop youth off for their drug court requirements. Percent is the raw number divided by the total number of families that have a member enrolled in the drug court.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families to participate</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families with a youth enrolled</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92174D" w:rsidRDefault="0092174D" w:rsidP="00006325">
            <w:pPr>
              <w:keepLines/>
              <w:spacing w:after="0" w:line="240" w:lineRule="auto"/>
              <w:ind w:left="227" w:hanging="227"/>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Average number of different services received by youth drug court participants</w:t>
            </w:r>
            <w:r>
              <w:rPr>
                <w:rFonts w:ascii="Arial Narrow" w:hAnsi="Arial Narrow" w:cs="Tahoma"/>
                <w:color w:val="000000"/>
                <w:sz w:val="18"/>
                <w:szCs w:val="17"/>
              </w:rPr>
              <w:t xml:space="preserve"> (intermediate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Appropriate for any drug court. Report the average number of different types of services or clinical treatment received by drug court participants. For example, if a participant received outpatient mental health treatment, transportation services, and literacy counseling, that would count as three services. But if, for example, a participant received medical treatment from two different providers or on two different occasions that would count as one treatment unless the treatment was for different conditions (e.g., a broken leg and a pregnancy).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Average number of types of services received per client</w:t>
            </w:r>
          </w:p>
          <w:p w:rsidR="0092174D" w:rsidRDefault="0092174D" w:rsidP="00006325">
            <w:pPr>
              <w:keepLines/>
              <w:spacing w:after="0" w:line="240" w:lineRule="auto"/>
              <w:ind w:left="227" w:hanging="227"/>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days of youth enrollment in the drug court</w:t>
            </w:r>
            <w:r>
              <w:rPr>
                <w:rFonts w:ascii="Arial Narrow" w:hAnsi="Arial Narrow" w:cs="Tahoma"/>
                <w:color w:val="000000"/>
                <w:sz w:val="18"/>
                <w:szCs w:val="17"/>
              </w:rPr>
              <w:t xml:space="preserve"> (intermediate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youth accountability. Appropriate for any drug court. Report the average number of calendar days that youth participate in the drug court. Enrollment includes things like signing a participation agreement, assignment of a drug court case specialist, or appearing before a drug court judge. Include active enrollment, not days a youth appears on case rolls but cannot be located or is otherwise a non-participant (e.g., the case is closed but the paper work has not yet been processed).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Average number of days of court participation per youth</w:t>
            </w:r>
          </w:p>
          <w:p w:rsidR="0092174D" w:rsidRDefault="0092174D" w:rsidP="00006325">
            <w:pPr>
              <w:keepLines/>
              <w:spacing w:after="0" w:line="240" w:lineRule="auto"/>
              <w:ind w:left="227" w:hanging="227"/>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youth to successfully complete treatment/services referred to as part of the drug court</w:t>
            </w:r>
            <w:r>
              <w:rPr>
                <w:rFonts w:ascii="Arial Narrow" w:hAnsi="Arial Narrow" w:cs="Tahoma"/>
                <w:color w:val="000000"/>
                <w:sz w:val="18"/>
                <w:szCs w:val="17"/>
              </w:rPr>
              <w:t xml:space="preserve"> (intermediate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well-operated drug courts with appropriate resources will have higher rates of treatment/service completion than would poor-quality programs. Appropriate for any drug court. Report the raw number of youth that successfully complete all of the treatment and service programs that they enter as part of the drug court. Percent is the raw number divided by the total number of youth to enter at least one service or treatment through the drug court.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youth to successfully complete their treatment/services requirements</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youth enrolled in treatment/services</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92174D" w:rsidRDefault="0092174D" w:rsidP="00006325">
            <w:pPr>
              <w:keepLines/>
              <w:spacing w:after="0" w:line="240" w:lineRule="auto"/>
              <w:ind w:left="227" w:hanging="227"/>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youth to successfully complete their drug court requirements</w:t>
            </w:r>
            <w:r>
              <w:rPr>
                <w:rFonts w:ascii="Arial Narrow" w:hAnsi="Arial Narrow" w:cs="Tahoma"/>
                <w:color w:val="000000"/>
                <w:sz w:val="18"/>
                <w:szCs w:val="17"/>
              </w:rPr>
              <w:t xml:space="preserve"> (intermediate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well-operated drug courts with appropriate resources will have higher rates of completion than would poor quality programs. Appropriate for any drug court. Report the raw number of youth that successfully complete all of their drug court requirements (service, treatment, and legal). Percent is the raw number divided by the total number of youth to enroll in the drug court. Enrollment includes things like signing a participation agreement, assignment of a drug court case specialist, or appearing before a drug court judge.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youth to successfully complete their drug court requirements</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youth enrolled in the drug court</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92174D" w:rsidRDefault="0092174D" w:rsidP="00006325">
            <w:pPr>
              <w:keepLines/>
              <w:spacing w:after="0" w:line="240" w:lineRule="auto"/>
              <w:ind w:left="227" w:hanging="227"/>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Cost savings per youth</w:t>
            </w:r>
            <w:r>
              <w:rPr>
                <w:rFonts w:ascii="Arial Narrow" w:hAnsi="Arial Narrow" w:cs="Tahoma"/>
                <w:color w:val="000000"/>
                <w:sz w:val="18"/>
                <w:szCs w:val="17"/>
              </w:rPr>
              <w:t xml:space="preserve"> (intermediate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efficiency. Appropriate for any drug court. Report the average cost in dollars to adjudicate a youth through the drug court subtracted from the average cost for adjudication of cases by the regular court.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Pr>
                <w:rFonts w:ascii="Arial Narrow" w:hAnsi="Arial Narrow" w:cs="Tahoma"/>
                <w:color w:val="000000"/>
                <w:sz w:val="18"/>
                <w:szCs w:val="17"/>
              </w:rPr>
              <w:t>A.</w:t>
            </w:r>
            <w:r>
              <w:rPr>
                <w:rFonts w:ascii="Arial Narrow" w:hAnsi="Arial Narrow" w:cs="Tahoma"/>
                <w:color w:val="000000"/>
                <w:sz w:val="18"/>
                <w:szCs w:val="17"/>
              </w:rPr>
              <w:tab/>
              <w:t xml:space="preserve">Average cost per drug </w:t>
            </w:r>
            <w:r w:rsidRPr="00496B95">
              <w:rPr>
                <w:rFonts w:ascii="Arial Narrow" w:hAnsi="Arial Narrow" w:cs="Tahoma"/>
                <w:color w:val="000000"/>
                <w:sz w:val="18"/>
                <w:szCs w:val="17"/>
              </w:rPr>
              <w:t>court case</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Average cost per equivalent non-</w:t>
            </w:r>
            <w:r>
              <w:rPr>
                <w:rFonts w:ascii="Arial Narrow" w:hAnsi="Arial Narrow" w:cs="Tahoma"/>
                <w:color w:val="000000"/>
                <w:sz w:val="18"/>
                <w:szCs w:val="17"/>
              </w:rPr>
              <w:t>drug</w:t>
            </w:r>
            <w:r w:rsidRPr="00496B95">
              <w:rPr>
                <w:rFonts w:ascii="Arial Narrow" w:hAnsi="Arial Narrow" w:cs="Tahoma"/>
                <w:color w:val="000000"/>
                <w:sz w:val="18"/>
                <w:szCs w:val="17"/>
              </w:rPr>
              <w:t xml:space="preserve"> court case</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Cost savings (b-a)</w:t>
            </w: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court appearances missed by drug court participants</w:t>
            </w:r>
            <w:r>
              <w:rPr>
                <w:rFonts w:ascii="Arial Narrow" w:hAnsi="Arial Narrow" w:cs="Tahoma"/>
                <w:color w:val="000000"/>
                <w:sz w:val="18"/>
                <w:szCs w:val="17"/>
              </w:rPr>
              <w:t xml:space="preserve"> (intermediate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youth accountability. Appropriate for any drug court. Report the raw number of court appearances missed by drug court participants. Percent is the raw number divided by the total number of court appearances scheduled.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missed court appearances</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court appearances schedule</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r w:rsidR="0092174D" w:rsidRPr="00496B95" w:rsidTr="00006325">
        <w:trPr>
          <w:cantSplit/>
        </w:trPr>
        <w:tc>
          <w:tcPr>
            <w:tcW w:w="355" w:type="dxa"/>
            <w:tcBorders>
              <w:top w:val="single" w:sz="6" w:space="0" w:color="000000"/>
              <w:left w:val="single" w:sz="6" w:space="0" w:color="000000"/>
              <w:bottom w:val="single" w:sz="6" w:space="0" w:color="000000"/>
            </w:tcBorders>
          </w:tcPr>
          <w:p w:rsidR="0092174D" w:rsidRPr="00CD3DC6" w:rsidRDefault="0092174D" w:rsidP="00CD3DC6">
            <w:pPr>
              <w:pStyle w:val="ListParagraph"/>
              <w:keepLines/>
              <w:numPr>
                <w:ilvl w:val="0"/>
                <w:numId w:val="11"/>
              </w:numPr>
              <w:spacing w:after="0" w:line="240" w:lineRule="auto"/>
              <w:rPr>
                <w:rFonts w:ascii="Arial Narrow" w:hAnsi="Arial Narrow" w:cs="Tahoma"/>
                <w:color w:val="000000"/>
                <w:sz w:val="18"/>
                <w:szCs w:val="17"/>
              </w:rPr>
            </w:pPr>
          </w:p>
        </w:tc>
        <w:tc>
          <w:tcPr>
            <w:tcW w:w="2112" w:type="dxa"/>
            <w:tcBorders>
              <w:top w:val="single" w:sz="6" w:space="0" w:color="000000"/>
              <w:left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drug court participants for whom a bench warrant is issued</w:t>
            </w:r>
            <w:r>
              <w:rPr>
                <w:rFonts w:ascii="Arial Narrow" w:hAnsi="Arial Narrow" w:cs="Tahoma"/>
                <w:color w:val="000000"/>
                <w:sz w:val="18"/>
                <w:szCs w:val="17"/>
              </w:rPr>
              <w:t xml:space="preserve"> (intermediate term)</w:t>
            </w:r>
          </w:p>
        </w:tc>
        <w:tc>
          <w:tcPr>
            <w:tcW w:w="4166"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Appropriate for any drug court. Report the raw number of drug court participants to be issued a bench warrant. Percent is the raw number divided by the number of drug court participants enrolled during any part of the reporting period. </w:t>
            </w:r>
          </w:p>
        </w:tc>
        <w:tc>
          <w:tcPr>
            <w:tcW w:w="2812" w:type="dxa"/>
            <w:tcBorders>
              <w:top w:val="single" w:sz="6" w:space="0" w:color="000000"/>
              <w:bottom w:val="single" w:sz="6" w:space="0" w:color="000000"/>
              <w:right w:val="single" w:sz="6" w:space="0" w:color="000000"/>
            </w:tcBorders>
          </w:tcPr>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participants issued a bench warrant</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participants</w:t>
            </w:r>
          </w:p>
          <w:p w:rsidR="0092174D" w:rsidRDefault="0092174D" w:rsidP="00006325">
            <w:pPr>
              <w:keepLines/>
              <w:spacing w:after="0" w:line="240" w:lineRule="auto"/>
              <w:ind w:left="227" w:hanging="227"/>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92174D" w:rsidRDefault="0092174D" w:rsidP="00006325">
            <w:pPr>
              <w:keepLines/>
              <w:spacing w:after="0" w:line="240" w:lineRule="auto"/>
              <w:ind w:left="227" w:hanging="227"/>
              <w:rPr>
                <w:rFonts w:ascii="Arial Narrow" w:hAnsi="Arial Narrow" w:cs="Tahoma"/>
                <w:color w:val="000000"/>
                <w:sz w:val="18"/>
                <w:szCs w:val="17"/>
              </w:rPr>
            </w:pPr>
          </w:p>
        </w:tc>
        <w:tc>
          <w:tcPr>
            <w:tcW w:w="1530" w:type="dxa"/>
            <w:tcBorders>
              <w:top w:val="single" w:sz="6" w:space="0" w:color="000000"/>
              <w:bottom w:val="single" w:sz="6" w:space="0" w:color="000000"/>
              <w:right w:val="single" w:sz="6" w:space="0" w:color="000000"/>
            </w:tcBorders>
          </w:tcPr>
          <w:p w:rsidR="0092174D" w:rsidRDefault="0092174D" w:rsidP="00293CED">
            <w:pPr>
              <w:keepLines/>
              <w:spacing w:after="0" w:line="240" w:lineRule="auto"/>
              <w:rPr>
                <w:rFonts w:ascii="Arial Narrow" w:hAnsi="Arial Narrow" w:cs="Tahoma"/>
                <w:color w:val="000000"/>
                <w:sz w:val="18"/>
                <w:szCs w:val="17"/>
              </w:rPr>
            </w:pPr>
          </w:p>
        </w:tc>
      </w:tr>
    </w:tbl>
    <w:p w:rsidR="0092174D" w:rsidRDefault="0092174D"/>
    <w:sectPr w:rsidR="0092174D" w:rsidSect="0092174D">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E4B" w:rsidRDefault="005D2E4B" w:rsidP="0092174D">
      <w:pPr>
        <w:spacing w:after="0" w:line="240" w:lineRule="auto"/>
      </w:pPr>
      <w:r>
        <w:separator/>
      </w:r>
    </w:p>
  </w:endnote>
  <w:endnote w:type="continuationSeparator" w:id="0">
    <w:p w:rsidR="005D2E4B" w:rsidRDefault="005D2E4B" w:rsidP="00921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546299"/>
      <w:docPartObj>
        <w:docPartGallery w:val="Page Numbers (Bottom of Page)"/>
        <w:docPartUnique/>
      </w:docPartObj>
    </w:sdtPr>
    <w:sdtEndPr>
      <w:rPr>
        <w:noProof/>
      </w:rPr>
    </w:sdtEndPr>
    <w:sdtContent>
      <w:p w:rsidR="008C02C9" w:rsidRDefault="008C02C9" w:rsidP="00006325">
        <w:pPr>
          <w:pStyle w:val="Footer"/>
          <w:jc w:val="right"/>
        </w:pPr>
        <w:r>
          <w:fldChar w:fldCharType="begin"/>
        </w:r>
        <w:r>
          <w:instrText xml:space="preserve"> PAGE   \* MERGEFORMAT </w:instrText>
        </w:r>
        <w:r>
          <w:fldChar w:fldCharType="separate"/>
        </w:r>
        <w:r w:rsidR="00006325">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E4B" w:rsidRDefault="005D2E4B" w:rsidP="0092174D">
      <w:pPr>
        <w:spacing w:after="0" w:line="240" w:lineRule="auto"/>
      </w:pPr>
      <w:r>
        <w:separator/>
      </w:r>
    </w:p>
  </w:footnote>
  <w:footnote w:type="continuationSeparator" w:id="0">
    <w:p w:rsidR="005D2E4B" w:rsidRDefault="005D2E4B" w:rsidP="00921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74D" w:rsidRPr="008776B6" w:rsidRDefault="0092174D" w:rsidP="0092174D">
    <w:pPr>
      <w:pStyle w:val="Heading1"/>
      <w:spacing w:before="0" w:after="0"/>
      <w:rPr>
        <w:color w:val="auto"/>
      </w:rPr>
    </w:pPr>
    <w:r w:rsidRPr="008776B6">
      <w:rPr>
        <w:color w:val="auto"/>
      </w:rPr>
      <w:t>Office of Juvenile Justice and Delinquency Prevention</w:t>
    </w:r>
  </w:p>
  <w:p w:rsidR="0092174D" w:rsidRPr="00195C88" w:rsidRDefault="0092174D" w:rsidP="0092174D">
    <w:pPr>
      <w:pStyle w:val="Heading1"/>
      <w:spacing w:before="100"/>
      <w:rPr>
        <w:rStyle w:val="instructions1"/>
        <w:rFonts w:cs="Arial"/>
        <w:bCs/>
      </w:rPr>
    </w:pPr>
    <w:r w:rsidRPr="00195C88">
      <w:rPr>
        <w:rStyle w:val="instructions1"/>
        <w:rFonts w:cs="Arial"/>
        <w:bCs/>
      </w:rPr>
      <w:t>Tribal Juvenile Accountability Discretionary Grant Program (T-JADG)</w:t>
    </w:r>
  </w:p>
  <w:p w:rsidR="0092174D" w:rsidRPr="0092174D" w:rsidRDefault="0092174D" w:rsidP="0092174D">
    <w:pPr>
      <w:pStyle w:val="Heading1"/>
      <w:spacing w:after="100"/>
      <w:rPr>
        <w:color w:val="auto"/>
      </w:rPr>
    </w:pPr>
    <w:r>
      <w:rPr>
        <w:color w:val="auto"/>
      </w:rPr>
      <w:t>drug</w:t>
    </w:r>
    <w:r w:rsidRPr="00812783">
      <w:rPr>
        <w:color w:val="auto"/>
      </w:rPr>
      <w:t xml:space="preserve"> Courts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ABC"/>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02DE3C25"/>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15:restartNumberingAfterBreak="0">
    <w:nsid w:val="055D73F0"/>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01D77"/>
    <w:multiLevelType w:val="hybridMultilevel"/>
    <w:tmpl w:val="315010E0"/>
    <w:lvl w:ilvl="0" w:tplc="DC786342">
      <w:start w:val="1"/>
      <w:numFmt w:val="upperLetter"/>
      <w:lvlText w:val="%1."/>
      <w:lvlJc w:val="left"/>
      <w:pPr>
        <w:ind w:left="720" w:hanging="360"/>
      </w:pPr>
      <w:rPr>
        <w:rFonts w:hint="default"/>
        <w:b w:val="0"/>
        <w:i w:val="0"/>
        <w:color w:val="000000" w:themeColor="text1"/>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D7F9A"/>
    <w:multiLevelType w:val="hybridMultilevel"/>
    <w:tmpl w:val="315010E0"/>
    <w:lvl w:ilvl="0" w:tplc="DC786342">
      <w:start w:val="1"/>
      <w:numFmt w:val="upperLetter"/>
      <w:lvlText w:val="%1."/>
      <w:lvlJc w:val="left"/>
      <w:pPr>
        <w:ind w:left="720" w:hanging="360"/>
      </w:pPr>
      <w:rPr>
        <w:rFonts w:hint="default"/>
        <w:b w:val="0"/>
        <w:i w:val="0"/>
        <w:color w:val="000000" w:themeColor="text1"/>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B6F7B"/>
    <w:multiLevelType w:val="hybridMultilevel"/>
    <w:tmpl w:val="1F127D0A"/>
    <w:lvl w:ilvl="0" w:tplc="460836B4">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6" w15:restartNumberingAfterBreak="0">
    <w:nsid w:val="23732575"/>
    <w:multiLevelType w:val="hybridMultilevel"/>
    <w:tmpl w:val="5046EE92"/>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BE2E05"/>
    <w:multiLevelType w:val="hybridMultilevel"/>
    <w:tmpl w:val="315010E0"/>
    <w:lvl w:ilvl="0" w:tplc="DC786342">
      <w:start w:val="1"/>
      <w:numFmt w:val="upperLetter"/>
      <w:lvlText w:val="%1."/>
      <w:lvlJc w:val="left"/>
      <w:pPr>
        <w:ind w:left="720" w:hanging="360"/>
      </w:pPr>
      <w:rPr>
        <w:rFonts w:hint="default"/>
        <w:b w:val="0"/>
        <w:i w:val="0"/>
        <w:color w:val="000000" w:themeColor="text1"/>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E400A"/>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052EF"/>
    <w:multiLevelType w:val="hybridMultilevel"/>
    <w:tmpl w:val="315010E0"/>
    <w:lvl w:ilvl="0" w:tplc="DC786342">
      <w:start w:val="1"/>
      <w:numFmt w:val="upperLetter"/>
      <w:lvlText w:val="%1."/>
      <w:lvlJc w:val="left"/>
      <w:pPr>
        <w:ind w:left="720" w:hanging="360"/>
      </w:pPr>
      <w:rPr>
        <w:rFonts w:hint="default"/>
        <w:b w:val="0"/>
        <w:i w:val="0"/>
        <w:color w:val="000000" w:themeColor="text1"/>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22567"/>
    <w:multiLevelType w:val="hybridMultilevel"/>
    <w:tmpl w:val="223837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59475C"/>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D2556"/>
    <w:multiLevelType w:val="hybridMultilevel"/>
    <w:tmpl w:val="315010E0"/>
    <w:lvl w:ilvl="0" w:tplc="DC786342">
      <w:start w:val="1"/>
      <w:numFmt w:val="upperLetter"/>
      <w:lvlText w:val="%1."/>
      <w:lvlJc w:val="left"/>
      <w:pPr>
        <w:ind w:left="720" w:hanging="360"/>
      </w:pPr>
      <w:rPr>
        <w:rFonts w:hint="default"/>
        <w:b w:val="0"/>
        <w:i w:val="0"/>
        <w:color w:val="000000" w:themeColor="text1"/>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973AA"/>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4" w15:restartNumberingAfterBreak="0">
    <w:nsid w:val="4D8779B3"/>
    <w:multiLevelType w:val="hybridMultilevel"/>
    <w:tmpl w:val="315010E0"/>
    <w:lvl w:ilvl="0" w:tplc="DC786342">
      <w:start w:val="1"/>
      <w:numFmt w:val="upperLetter"/>
      <w:lvlText w:val="%1."/>
      <w:lvlJc w:val="left"/>
      <w:pPr>
        <w:ind w:left="720" w:hanging="360"/>
      </w:pPr>
      <w:rPr>
        <w:rFonts w:hint="default"/>
        <w:b w:val="0"/>
        <w:i w:val="0"/>
        <w:color w:val="000000" w:themeColor="text1"/>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2F6E7F"/>
    <w:multiLevelType w:val="hybridMultilevel"/>
    <w:tmpl w:val="0CCA101E"/>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9675D4"/>
    <w:multiLevelType w:val="hybridMultilevel"/>
    <w:tmpl w:val="0562CEFC"/>
    <w:lvl w:ilvl="0" w:tplc="F8BCF1A6">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7" w15:restartNumberingAfterBreak="0">
    <w:nsid w:val="6A0172EA"/>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8" w15:restartNumberingAfterBreak="0">
    <w:nsid w:val="6C676B85"/>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9" w15:restartNumberingAfterBreak="0">
    <w:nsid w:val="6F571E98"/>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756EA"/>
    <w:multiLevelType w:val="hybridMultilevel"/>
    <w:tmpl w:val="315010E0"/>
    <w:lvl w:ilvl="0" w:tplc="DC786342">
      <w:start w:val="1"/>
      <w:numFmt w:val="upperLetter"/>
      <w:lvlText w:val="%1."/>
      <w:lvlJc w:val="left"/>
      <w:pPr>
        <w:ind w:left="720" w:hanging="360"/>
      </w:pPr>
      <w:rPr>
        <w:rFonts w:hint="default"/>
        <w:b w:val="0"/>
        <w:i w:val="0"/>
        <w:color w:val="000000" w:themeColor="text1"/>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E5B5A"/>
    <w:multiLevelType w:val="hybridMultilevel"/>
    <w:tmpl w:val="315010E0"/>
    <w:lvl w:ilvl="0" w:tplc="DC786342">
      <w:start w:val="1"/>
      <w:numFmt w:val="upperLetter"/>
      <w:lvlText w:val="%1."/>
      <w:lvlJc w:val="left"/>
      <w:pPr>
        <w:ind w:left="720" w:hanging="360"/>
      </w:pPr>
      <w:rPr>
        <w:rFonts w:hint="default"/>
        <w:b w:val="0"/>
        <w:i w:val="0"/>
        <w:color w:val="000000" w:themeColor="text1"/>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7"/>
  </w:num>
  <w:num w:numId="4">
    <w:abstractNumId w:val="13"/>
  </w:num>
  <w:num w:numId="5">
    <w:abstractNumId w:val="18"/>
  </w:num>
  <w:num w:numId="6">
    <w:abstractNumId w:val="1"/>
  </w:num>
  <w:num w:numId="7">
    <w:abstractNumId w:val="2"/>
  </w:num>
  <w:num w:numId="8">
    <w:abstractNumId w:val="11"/>
  </w:num>
  <w:num w:numId="9">
    <w:abstractNumId w:val="19"/>
  </w:num>
  <w:num w:numId="10">
    <w:abstractNumId w:val="10"/>
  </w:num>
  <w:num w:numId="11">
    <w:abstractNumId w:val="15"/>
  </w:num>
  <w:num w:numId="12">
    <w:abstractNumId w:val="6"/>
  </w:num>
  <w:num w:numId="13">
    <w:abstractNumId w:val="14"/>
  </w:num>
  <w:num w:numId="14">
    <w:abstractNumId w:val="5"/>
  </w:num>
  <w:num w:numId="15">
    <w:abstractNumId w:val="16"/>
  </w:num>
  <w:num w:numId="16">
    <w:abstractNumId w:val="7"/>
  </w:num>
  <w:num w:numId="17">
    <w:abstractNumId w:val="9"/>
  </w:num>
  <w:num w:numId="18">
    <w:abstractNumId w:val="3"/>
  </w:num>
  <w:num w:numId="19">
    <w:abstractNumId w:val="12"/>
  </w:num>
  <w:num w:numId="20">
    <w:abstractNumId w:val="21"/>
  </w:num>
  <w:num w:numId="21">
    <w:abstractNumId w:val="2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74D"/>
    <w:rsid w:val="00006325"/>
    <w:rsid w:val="00066B50"/>
    <w:rsid w:val="005D2E4B"/>
    <w:rsid w:val="007F62EE"/>
    <w:rsid w:val="008C02C9"/>
    <w:rsid w:val="0092174D"/>
    <w:rsid w:val="00CD3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6AF760-03D4-4A7F-A22B-16F237C8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74D"/>
  </w:style>
  <w:style w:type="paragraph" w:styleId="Heading1">
    <w:name w:val="heading 1"/>
    <w:basedOn w:val="Normal"/>
    <w:next w:val="BodyText"/>
    <w:link w:val="Heading1Char"/>
    <w:qFormat/>
    <w:rsid w:val="0092174D"/>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74D"/>
  </w:style>
  <w:style w:type="paragraph" w:styleId="Footer">
    <w:name w:val="footer"/>
    <w:basedOn w:val="Normal"/>
    <w:link w:val="FooterChar"/>
    <w:uiPriority w:val="99"/>
    <w:unhideWhenUsed/>
    <w:rsid w:val="00921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74D"/>
  </w:style>
  <w:style w:type="character" w:customStyle="1" w:styleId="Heading1Char">
    <w:name w:val="Heading 1 Char"/>
    <w:basedOn w:val="DefaultParagraphFont"/>
    <w:link w:val="Heading1"/>
    <w:rsid w:val="0092174D"/>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92174D"/>
  </w:style>
  <w:style w:type="paragraph" w:styleId="BodyText">
    <w:name w:val="Body Text"/>
    <w:basedOn w:val="Normal"/>
    <w:link w:val="BodyTextChar"/>
    <w:uiPriority w:val="99"/>
    <w:semiHidden/>
    <w:unhideWhenUsed/>
    <w:rsid w:val="0092174D"/>
    <w:pPr>
      <w:spacing w:after="120"/>
    </w:pPr>
  </w:style>
  <w:style w:type="character" w:customStyle="1" w:styleId="BodyTextChar">
    <w:name w:val="Body Text Char"/>
    <w:basedOn w:val="DefaultParagraphFont"/>
    <w:link w:val="BodyText"/>
    <w:uiPriority w:val="99"/>
    <w:semiHidden/>
    <w:rsid w:val="0092174D"/>
  </w:style>
  <w:style w:type="character" w:styleId="Strong">
    <w:name w:val="Strong"/>
    <w:qFormat/>
    <w:rsid w:val="0092174D"/>
    <w:rPr>
      <w:b/>
      <w:bCs/>
    </w:rPr>
  </w:style>
  <w:style w:type="paragraph" w:styleId="ListParagraph">
    <w:name w:val="List Paragraph"/>
    <w:basedOn w:val="Normal"/>
    <w:uiPriority w:val="34"/>
    <w:qFormat/>
    <w:rsid w:val="00921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3132</Words>
  <Characters>17855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2021-08-11T20:48:00Z</dcterms:created>
  <dcterms:modified xsi:type="dcterms:W3CDTF">2021-08-11T20:48:00Z</dcterms:modified>
</cp:coreProperties>
</file>