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2197"/>
        <w:gridCol w:w="3953"/>
        <w:gridCol w:w="2940"/>
        <w:gridCol w:w="1515"/>
      </w:tblGrid>
      <w:tr w:rsidR="005E5029" w:rsidRPr="00636FE4" w:rsidTr="005F7B09">
        <w:trPr>
          <w:cantSplit/>
          <w:tblHeader/>
        </w:trPr>
        <w:tc>
          <w:tcPr>
            <w:tcW w:w="345" w:type="dxa"/>
            <w:tcBorders>
              <w:left w:val="single" w:sz="4" w:space="0" w:color="auto"/>
              <w:bottom w:val="single" w:sz="6" w:space="0" w:color="000000"/>
              <w:right w:val="single" w:sz="6" w:space="0" w:color="FFFFFF"/>
            </w:tcBorders>
            <w:shd w:val="clear" w:color="auto" w:fill="003366"/>
            <w:vAlign w:val="center"/>
          </w:tcPr>
          <w:p w:rsidR="005E5029" w:rsidRPr="005F7B09" w:rsidRDefault="005E5029" w:rsidP="00293CED">
            <w:pPr>
              <w:keepLines/>
              <w:spacing w:after="0" w:line="240" w:lineRule="auto"/>
              <w:rPr>
                <w:rFonts w:ascii="Arial Narrow Bold" w:hAnsi="Arial Narrow Bold" w:cs="Tahoma"/>
                <w:b/>
                <w:color w:val="FFFFFF"/>
                <w:sz w:val="18"/>
                <w:szCs w:val="18"/>
              </w:rPr>
            </w:pPr>
            <w:bookmarkStart w:id="0" w:name="_GoBack"/>
            <w:bookmarkEnd w:id="0"/>
            <w:r w:rsidRPr="005F7B09">
              <w:rPr>
                <w:rStyle w:val="Strong"/>
                <w:rFonts w:ascii="Arial Narrow Bold" w:hAnsi="Arial Narrow Bold" w:cs="Tahoma"/>
                <w:color w:val="FFFFFF"/>
                <w:sz w:val="18"/>
                <w:szCs w:val="18"/>
              </w:rPr>
              <w:t>#</w:t>
            </w:r>
          </w:p>
        </w:tc>
        <w:tc>
          <w:tcPr>
            <w:tcW w:w="2197" w:type="dxa"/>
            <w:tcBorders>
              <w:left w:val="single" w:sz="6" w:space="0" w:color="FFFFFF"/>
              <w:bottom w:val="single" w:sz="6" w:space="0" w:color="000000"/>
              <w:right w:val="single" w:sz="6" w:space="0" w:color="FFFFFF"/>
            </w:tcBorders>
            <w:shd w:val="clear" w:color="auto" w:fill="003366"/>
            <w:vAlign w:val="center"/>
          </w:tcPr>
          <w:p w:rsidR="005E5029" w:rsidRPr="005F7B09" w:rsidRDefault="005E5029" w:rsidP="00293CED">
            <w:pPr>
              <w:keepLines/>
              <w:spacing w:after="0" w:line="240" w:lineRule="auto"/>
              <w:rPr>
                <w:rFonts w:ascii="Arial Narrow Bold" w:hAnsi="Arial Narrow Bold" w:cs="Tahoma"/>
                <w:b/>
                <w:color w:val="FFFFFF"/>
                <w:sz w:val="18"/>
                <w:szCs w:val="18"/>
              </w:rPr>
            </w:pPr>
            <w:r w:rsidRPr="005F7B09">
              <w:rPr>
                <w:rStyle w:val="Strong"/>
                <w:rFonts w:ascii="Arial Narrow Bold" w:hAnsi="Arial Narrow Bold" w:cs="Tahoma"/>
                <w:color w:val="FFFFFF"/>
                <w:sz w:val="18"/>
                <w:szCs w:val="18"/>
              </w:rPr>
              <w:t>Output Measure</w:t>
            </w:r>
          </w:p>
        </w:tc>
        <w:tc>
          <w:tcPr>
            <w:tcW w:w="3953" w:type="dxa"/>
            <w:tcBorders>
              <w:left w:val="single" w:sz="6" w:space="0" w:color="FFFFFF"/>
              <w:bottom w:val="single" w:sz="6" w:space="0" w:color="000000"/>
              <w:right w:val="single" w:sz="6" w:space="0" w:color="FFFFFF"/>
            </w:tcBorders>
            <w:shd w:val="clear" w:color="auto" w:fill="003366"/>
            <w:vAlign w:val="center"/>
          </w:tcPr>
          <w:p w:rsidR="005E5029" w:rsidRPr="005F7B09" w:rsidRDefault="005E5029" w:rsidP="00293CED">
            <w:pPr>
              <w:keepLines/>
              <w:spacing w:after="0" w:line="240" w:lineRule="auto"/>
              <w:rPr>
                <w:rFonts w:ascii="Arial Narrow Bold" w:hAnsi="Arial Narrow Bold" w:cs="Tahoma"/>
                <w:b/>
                <w:color w:val="FFFFFF"/>
                <w:sz w:val="18"/>
                <w:szCs w:val="18"/>
              </w:rPr>
            </w:pPr>
            <w:r w:rsidRPr="005F7B09">
              <w:rPr>
                <w:rStyle w:val="Strong"/>
                <w:rFonts w:ascii="Arial Narrow Bold" w:hAnsi="Arial Narrow Bold" w:cs="Tahoma"/>
                <w:color w:val="FFFFFF"/>
                <w:sz w:val="18"/>
                <w:szCs w:val="18"/>
              </w:rPr>
              <w:t>Definition</w:t>
            </w:r>
          </w:p>
        </w:tc>
        <w:tc>
          <w:tcPr>
            <w:tcW w:w="2940" w:type="dxa"/>
            <w:tcBorders>
              <w:left w:val="single" w:sz="6" w:space="0" w:color="FFFFFF"/>
              <w:bottom w:val="single" w:sz="6" w:space="0" w:color="000000"/>
              <w:right w:val="single" w:sz="6" w:space="0" w:color="FFFFFF"/>
            </w:tcBorders>
            <w:shd w:val="clear" w:color="auto" w:fill="003366"/>
            <w:noWrap/>
            <w:vAlign w:val="center"/>
          </w:tcPr>
          <w:p w:rsidR="005E5029" w:rsidRPr="005F7B09" w:rsidRDefault="005E5029" w:rsidP="00293CED">
            <w:pPr>
              <w:keepLines/>
              <w:spacing w:after="0" w:line="240" w:lineRule="auto"/>
              <w:rPr>
                <w:rFonts w:ascii="Arial Narrow Bold" w:hAnsi="Arial Narrow Bold" w:cs="Tahoma"/>
                <w:b/>
                <w:color w:val="FFFFFF"/>
                <w:sz w:val="18"/>
                <w:szCs w:val="18"/>
              </w:rPr>
            </w:pPr>
            <w:r w:rsidRPr="005F7B09">
              <w:rPr>
                <w:rStyle w:val="Strong"/>
                <w:rFonts w:ascii="Arial Narrow Bold" w:hAnsi="Arial Narrow Bold" w:cs="Tahoma"/>
                <w:color w:val="FFFFFF"/>
                <w:sz w:val="18"/>
                <w:szCs w:val="18"/>
              </w:rPr>
              <w:t>Data Grantee Provides</w:t>
            </w:r>
          </w:p>
        </w:tc>
        <w:tc>
          <w:tcPr>
            <w:tcW w:w="1515" w:type="dxa"/>
            <w:tcBorders>
              <w:left w:val="single" w:sz="6" w:space="0" w:color="FFFFFF"/>
              <w:bottom w:val="single" w:sz="6" w:space="0" w:color="000000"/>
            </w:tcBorders>
            <w:shd w:val="clear" w:color="auto" w:fill="003366"/>
          </w:tcPr>
          <w:p w:rsidR="005E5029" w:rsidRPr="005F7B09" w:rsidRDefault="005E5029" w:rsidP="00293CED">
            <w:pPr>
              <w:keepLines/>
              <w:spacing w:after="0" w:line="240" w:lineRule="auto"/>
              <w:rPr>
                <w:rStyle w:val="Strong"/>
                <w:rFonts w:ascii="Arial Narrow Bold" w:hAnsi="Arial Narrow Bold" w:cs="Tahoma"/>
                <w:color w:val="FFFFFF"/>
                <w:sz w:val="18"/>
                <w:szCs w:val="18"/>
              </w:rPr>
            </w:pPr>
            <w:r w:rsidRPr="005F7B09">
              <w:rPr>
                <w:rStyle w:val="Strong"/>
                <w:rFonts w:ascii="Arial Narrow Bold" w:hAnsi="Arial Narrow Bold" w:cs="Tahoma"/>
                <w:color w:val="FFFFFF"/>
                <w:sz w:val="18"/>
                <w:szCs w:val="18"/>
              </w:rPr>
              <w:t>Record Data Here</w:t>
            </w: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Amount of JABG/Tribal JADG funds awarded for system improvement</w:t>
            </w:r>
          </w:p>
          <w:p w:rsidR="005E5029" w:rsidRDefault="005E5029" w:rsidP="00293CED">
            <w:pPr>
              <w:keepLines/>
              <w:spacing w:after="0" w:line="240" w:lineRule="auto"/>
              <w:rPr>
                <w:rFonts w:ascii="Arial Narrow" w:hAnsi="Arial Narrow" w:cs="Tahoma"/>
                <w:color w:val="000000"/>
                <w:sz w:val="18"/>
                <w:szCs w:val="17"/>
              </w:rPr>
            </w:pPr>
          </w:p>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System Improvements Mandatory</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940" w:type="dxa"/>
            <w:tcBorders>
              <w:top w:val="single" w:sz="6" w:space="0" w:color="000000"/>
              <w:bottom w:val="single" w:sz="6" w:space="0" w:color="000000"/>
              <w:right w:val="single" w:sz="6" w:space="0" w:color="000000"/>
            </w:tcBorders>
          </w:tcPr>
          <w:p w:rsidR="005E5029" w:rsidRDefault="005E5029" w:rsidP="005F7B09">
            <w:pPr>
              <w:keepLines/>
              <w:tabs>
                <w:tab w:val="left" w:pos="219"/>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Funds awarded to program for services</w:t>
            </w:r>
          </w:p>
          <w:p w:rsidR="005E5029" w:rsidRDefault="005E5029" w:rsidP="00293CED">
            <w:pPr>
              <w:keepLines/>
              <w:spacing w:after="0" w:line="240" w:lineRule="auto"/>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Amount of funds allocated to programs that help prosecutors address cases involving drugs, gangs, or youth violence</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programs need sufficient funding to operate. Appropriate for programs that have staff prosecutors. Report the dollar amount allocated for programs that support prosecutors that deal with drug, gang, or violence cases involving juvenile offenders. Include money spent on things like relevant training, program curricula or literature, evaluation support, and support staff or consultants. </w:t>
            </w:r>
          </w:p>
        </w:tc>
        <w:tc>
          <w:tcPr>
            <w:tcW w:w="2940" w:type="dxa"/>
            <w:tcBorders>
              <w:top w:val="single" w:sz="6" w:space="0" w:color="000000"/>
              <w:bottom w:val="single" w:sz="6" w:space="0" w:color="000000"/>
              <w:right w:val="single" w:sz="6" w:space="0" w:color="000000"/>
            </w:tcBorders>
          </w:tcPr>
          <w:p w:rsidR="005E5029" w:rsidRDefault="005E5029" w:rsidP="005F7B09">
            <w:pPr>
              <w:keepLines/>
              <w:tabs>
                <w:tab w:val="left" w:pos="219"/>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dollars spend to support prosecutors dealing with drug, gang, and violence cases</w:t>
            </w:r>
          </w:p>
          <w:p w:rsidR="005E5029" w:rsidRDefault="005E5029" w:rsidP="00293CED">
            <w:pPr>
              <w:keepLines/>
              <w:spacing w:after="0" w:line="240" w:lineRule="auto"/>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Amount of funds spent on equipment for prosecution of cases involving drugs, gangs, or youth violence</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programs need sufficient equipment to operate well. Appropriate for prosecution programs that handle drug, gang, and violence cases involving juvenile offenders. Report the dollar amount allocated for equipment to support prosecutors that deal with drug, gang, or violence cases involving juvenile offenders. Equipment may include things like electronic monitors and drug testing kits. </w:t>
            </w:r>
          </w:p>
        </w:tc>
        <w:tc>
          <w:tcPr>
            <w:tcW w:w="2940" w:type="dxa"/>
            <w:tcBorders>
              <w:top w:val="single" w:sz="6" w:space="0" w:color="000000"/>
              <w:bottom w:val="single" w:sz="6" w:space="0" w:color="000000"/>
              <w:right w:val="single" w:sz="6" w:space="0" w:color="000000"/>
            </w:tcBorders>
          </w:tcPr>
          <w:p w:rsidR="005E5029" w:rsidRDefault="005E5029" w:rsidP="005F7B09">
            <w:pPr>
              <w:keepLines/>
              <w:tabs>
                <w:tab w:val="left" w:pos="219"/>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dollars spent on equipment</w:t>
            </w:r>
          </w:p>
          <w:p w:rsidR="005E5029" w:rsidRDefault="005E5029" w:rsidP="00293CED">
            <w:pPr>
              <w:keepLines/>
              <w:spacing w:after="0" w:line="240" w:lineRule="auto"/>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prosecutors trained in topics related to drugs, gangs, or youth violence</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 xml:space="preserve">Measure of system accountability based on the idea that properly trained staff can provide better service. Appropriate for programs that have staff prosecutors. Report the raw number of prosecutors to receive some training in the relevant topics. Include in-house and external training and any training medium (e.g., classes, observations, on-line, </w:t>
            </w:r>
            <w:proofErr w:type="spellStart"/>
            <w:r w:rsidRPr="00EE4B12">
              <w:rPr>
                <w:rFonts w:ascii="Arial Narrow" w:hAnsi="Arial Narrow" w:cs="Tahoma"/>
                <w:color w:val="000000"/>
                <w:sz w:val="18"/>
                <w:szCs w:val="17"/>
              </w:rPr>
              <w:t>etc</w:t>
            </w:r>
            <w:proofErr w:type="spellEnd"/>
            <w:r w:rsidRPr="00EE4B12">
              <w:rPr>
                <w:rFonts w:ascii="Arial Narrow" w:hAnsi="Arial Narrow" w:cs="Tahoma"/>
                <w:color w:val="000000"/>
                <w:sz w:val="18"/>
                <w:szCs w:val="17"/>
              </w:rPr>
              <w:t>) as long as training receipt can be verified. Include staff that started training during the reporting period even if the training did not conclude before the end of the period. Percent is the raw number divided by the total number of prosecutors that come in contact with drug, gang, and violence cases involving juvenile offenders. </w:t>
            </w:r>
          </w:p>
        </w:tc>
        <w:tc>
          <w:tcPr>
            <w:tcW w:w="2940" w:type="dxa"/>
            <w:tcBorders>
              <w:top w:val="single" w:sz="6" w:space="0" w:color="000000"/>
              <w:bottom w:val="single" w:sz="6" w:space="0" w:color="000000"/>
              <w:right w:val="single" w:sz="6" w:space="0" w:color="000000"/>
            </w:tcBorders>
          </w:tcPr>
          <w:p w:rsidR="005E5029" w:rsidRDefault="005E5029" w:rsidP="005F7B09">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prosecutors trained</w:t>
            </w:r>
          </w:p>
          <w:p w:rsidR="005E5029" w:rsidRDefault="005E5029" w:rsidP="005F7B09">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w:t>
            </w:r>
          </w:p>
          <w:p w:rsidR="005E5029" w:rsidRDefault="005E5029" w:rsidP="005F7B09">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5E5029" w:rsidRDefault="005E5029" w:rsidP="005F7B09">
            <w:pPr>
              <w:keepLine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prosecutors on topics related to drugs, gangs, or youth violence</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that have staff prosecutors. Report the raw number of hours of training offered in the relevant topics. Include in-house and external training and any training medium (e.g., classes, observations, on-line, etc.) as long as it can be verified that prosecutors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2940" w:type="dxa"/>
            <w:tcBorders>
              <w:top w:val="single" w:sz="6" w:space="0" w:color="000000"/>
              <w:bottom w:val="single" w:sz="6" w:space="0" w:color="000000"/>
              <w:right w:val="single" w:sz="6" w:space="0" w:color="000000"/>
            </w:tcBorders>
          </w:tcPr>
          <w:p w:rsidR="005E5029" w:rsidRDefault="005E5029" w:rsidP="005F7B09">
            <w:pPr>
              <w:keepLines/>
              <w:tabs>
                <w:tab w:val="left" w:pos="219"/>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hours of training offered</w:t>
            </w:r>
          </w:p>
          <w:p w:rsidR="005E5029" w:rsidRDefault="005E5029" w:rsidP="005F7B09">
            <w:pPr>
              <w:keepLines/>
              <w:tabs>
                <w:tab w:val="left" w:pos="219"/>
              </w:tabs>
              <w:spacing w:after="0" w:line="240" w:lineRule="auto"/>
              <w:ind w:left="225" w:hanging="202"/>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hours of mentoring that new prosecutors receive in their first 6 months</w:t>
            </w:r>
          </w:p>
        </w:tc>
        <w:tc>
          <w:tcPr>
            <w:tcW w:w="3953"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based on the idea that staff that are supported are more effective. Appropriate for programs that staff prosecutors. Report the cumulative number of hours of mentoring that new prosecutors received divided by the number of new prosecutors. Include prosecutors that have transferred to new units or positions or who have been assigned new duties as well as new hires. </w:t>
            </w:r>
          </w:p>
        </w:tc>
        <w:tc>
          <w:tcPr>
            <w:tcW w:w="2940"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Cumulative number of hours of mentoring</w:t>
            </w:r>
          </w:p>
          <w:p w:rsidR="005E5029" w:rsidRDefault="005E5029"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prosecutors</w:t>
            </w:r>
          </w:p>
          <w:p w:rsidR="005E5029" w:rsidRDefault="005E5029"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Hours of mentoring per prosecutor (a/b)</w:t>
            </w:r>
          </w:p>
          <w:p w:rsidR="005E5029" w:rsidRDefault="005E5029" w:rsidP="00293CED">
            <w:pPr>
              <w:keepLines/>
              <w:spacing w:after="0" w:line="240" w:lineRule="auto"/>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5E5029" w:rsidRPr="001A1B8D" w:rsidRDefault="005E5029" w:rsidP="00293CED">
            <w:pPr>
              <w:keepLines/>
              <w:spacing w:after="0" w:line="218" w:lineRule="atLeast"/>
              <w:rPr>
                <w:rFonts w:ascii="Arial Narrow" w:hAnsi="Arial Narrow" w:cs="Tahoma"/>
                <w:color w:val="000000"/>
                <w:sz w:val="18"/>
                <w:szCs w:val="17"/>
              </w:rPr>
            </w:pPr>
          </w:p>
        </w:tc>
        <w:tc>
          <w:tcPr>
            <w:tcW w:w="3953" w:type="dxa"/>
            <w:tcBorders>
              <w:top w:val="single" w:sz="6" w:space="0" w:color="000000"/>
              <w:bottom w:val="single" w:sz="6" w:space="0" w:color="000000"/>
              <w:right w:val="single" w:sz="6" w:space="0" w:color="000000"/>
            </w:tcBorders>
          </w:tcPr>
          <w:p w:rsidR="005E5029" w:rsidRPr="001A1B8D" w:rsidRDefault="005E5029"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940" w:type="dxa"/>
            <w:tcBorders>
              <w:top w:val="single" w:sz="6" w:space="0" w:color="000000"/>
              <w:bottom w:val="single" w:sz="6" w:space="0" w:color="000000"/>
              <w:right w:val="single" w:sz="6" w:space="0" w:color="000000"/>
            </w:tcBorders>
          </w:tcPr>
          <w:p w:rsidR="005E5029" w:rsidRPr="005F7B09" w:rsidRDefault="005E5029" w:rsidP="005F7B09">
            <w:pPr>
              <w:pStyle w:val="ListParagraph"/>
              <w:keepLines/>
              <w:numPr>
                <w:ilvl w:val="0"/>
                <w:numId w:val="13"/>
              </w:numPr>
              <w:spacing w:after="0" w:line="240" w:lineRule="auto"/>
              <w:ind w:left="228" w:hanging="228"/>
              <w:rPr>
                <w:rFonts w:ascii="Arial Narrow" w:hAnsi="Arial Narrow" w:cs="Tahoma"/>
                <w:color w:val="000000"/>
                <w:sz w:val="18"/>
                <w:szCs w:val="17"/>
              </w:rPr>
            </w:pPr>
            <w:r w:rsidRPr="005F7B09">
              <w:rPr>
                <w:rFonts w:ascii="Arial Narrow" w:hAnsi="Arial Narrow" w:cs="Tahoma"/>
                <w:color w:val="000000"/>
                <w:sz w:val="18"/>
                <w:szCs w:val="17"/>
              </w:rPr>
              <w:t>Number of training requests received during the reporting period.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5E5029" w:rsidRPr="001A1B8D" w:rsidRDefault="005E5029" w:rsidP="00293CED">
            <w:pPr>
              <w:keepLines/>
              <w:spacing w:after="0" w:line="218" w:lineRule="atLeast"/>
              <w:rPr>
                <w:rFonts w:ascii="Arial Narrow" w:hAnsi="Arial Narrow" w:cs="Tahoma"/>
                <w:color w:val="000000"/>
                <w:sz w:val="18"/>
                <w:szCs w:val="17"/>
              </w:rPr>
            </w:pPr>
          </w:p>
        </w:tc>
        <w:tc>
          <w:tcPr>
            <w:tcW w:w="3953" w:type="dxa"/>
            <w:tcBorders>
              <w:top w:val="single" w:sz="6" w:space="0" w:color="000000"/>
              <w:bottom w:val="single" w:sz="6" w:space="0" w:color="000000"/>
              <w:right w:val="single" w:sz="6" w:space="0" w:color="000000"/>
            </w:tcBorders>
          </w:tcPr>
          <w:p w:rsidR="005E5029" w:rsidRPr="001A1B8D" w:rsidRDefault="005E5029"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40" w:type="dxa"/>
            <w:tcBorders>
              <w:top w:val="single" w:sz="6" w:space="0" w:color="000000"/>
              <w:bottom w:val="single" w:sz="6" w:space="0" w:color="000000"/>
              <w:right w:val="single" w:sz="6" w:space="0" w:color="000000"/>
            </w:tcBorders>
          </w:tcPr>
          <w:p w:rsidR="005E5029" w:rsidRPr="005F7B09" w:rsidRDefault="005E5029" w:rsidP="00A80D7C">
            <w:pPr>
              <w:pStyle w:val="ListParagraph"/>
              <w:keepLines/>
              <w:numPr>
                <w:ilvl w:val="0"/>
                <w:numId w:val="14"/>
              </w:numPr>
              <w:spacing w:after="0" w:line="240" w:lineRule="auto"/>
              <w:ind w:left="255" w:hanging="255"/>
              <w:rPr>
                <w:rFonts w:ascii="Arial Narrow" w:hAnsi="Arial Narrow" w:cs="Tahoma"/>
                <w:color w:val="000000"/>
                <w:sz w:val="18"/>
                <w:szCs w:val="17"/>
              </w:rPr>
            </w:pPr>
            <w:r w:rsidRPr="005F7B09">
              <w:rPr>
                <w:rFonts w:ascii="Arial Narrow" w:hAnsi="Arial Narrow" w:cs="Tahoma"/>
                <w:color w:val="000000"/>
                <w:sz w:val="18"/>
                <w:szCs w:val="17"/>
              </w:rPr>
              <w:t>Number of technical assistance requests received during the reporting period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Pr="0033348B" w:rsidRDefault="005E5029"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3953" w:type="dxa"/>
            <w:tcBorders>
              <w:top w:val="single" w:sz="6" w:space="0" w:color="000000"/>
              <w:bottom w:val="single" w:sz="6" w:space="0" w:color="000000"/>
              <w:right w:val="single" w:sz="6" w:space="0" w:color="000000"/>
            </w:tcBorders>
          </w:tcPr>
          <w:p w:rsidR="005E5029" w:rsidRPr="0033348B" w:rsidRDefault="005E5029"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40" w:type="dxa"/>
            <w:tcBorders>
              <w:top w:val="single" w:sz="6" w:space="0" w:color="000000"/>
              <w:bottom w:val="single" w:sz="6" w:space="0" w:color="000000"/>
              <w:right w:val="single" w:sz="6" w:space="0" w:color="000000"/>
            </w:tcBorders>
          </w:tcPr>
          <w:p w:rsidR="005E5029" w:rsidRPr="0033348B" w:rsidRDefault="005E5029" w:rsidP="00A80D7C">
            <w:pPr>
              <w:pStyle w:val="ListParagraph"/>
              <w:keepLines/>
              <w:numPr>
                <w:ilvl w:val="0"/>
                <w:numId w:val="15"/>
              </w:numPr>
              <w:spacing w:after="0" w:line="218" w:lineRule="atLeast"/>
              <w:ind w:left="255" w:hanging="255"/>
              <w:rPr>
                <w:rFonts w:ascii="Arial Narrow" w:hAnsi="Arial Narrow" w:cs="Tahoma"/>
                <w:sz w:val="18"/>
                <w:szCs w:val="18"/>
              </w:rPr>
            </w:pPr>
            <w:r w:rsidRPr="007F4E33">
              <w:rPr>
                <w:rFonts w:ascii="Arial Narrow" w:hAnsi="Arial Narrow" w:cs="Tahoma"/>
                <w:sz w:val="18"/>
                <w:szCs w:val="18"/>
              </w:rPr>
              <w:t>Number of program materials developed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Pr="0040497B" w:rsidRDefault="005E5029"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3953" w:type="dxa"/>
            <w:tcBorders>
              <w:top w:val="single" w:sz="6" w:space="0" w:color="000000"/>
              <w:bottom w:val="single" w:sz="6" w:space="0" w:color="000000"/>
              <w:right w:val="single" w:sz="6" w:space="0" w:color="000000"/>
            </w:tcBorders>
          </w:tcPr>
          <w:p w:rsidR="005E5029" w:rsidRPr="0040497B" w:rsidRDefault="005E5029"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40" w:type="dxa"/>
            <w:tcBorders>
              <w:top w:val="single" w:sz="6" w:space="0" w:color="000000"/>
              <w:bottom w:val="single" w:sz="6" w:space="0" w:color="000000"/>
              <w:right w:val="single" w:sz="6" w:space="0" w:color="000000"/>
            </w:tcBorders>
          </w:tcPr>
          <w:p w:rsidR="005E5029" w:rsidRPr="004211A8" w:rsidRDefault="005E5029" w:rsidP="00A80D7C">
            <w:pPr>
              <w:pStyle w:val="ListParagraph"/>
              <w:keepLines/>
              <w:numPr>
                <w:ilvl w:val="0"/>
                <w:numId w:val="16"/>
              </w:numPr>
              <w:spacing w:after="0" w:line="218" w:lineRule="atLeast"/>
              <w:ind w:left="255" w:hanging="25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Pr="0033348B" w:rsidRDefault="005E5029"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3953" w:type="dxa"/>
            <w:tcBorders>
              <w:top w:val="single" w:sz="6" w:space="0" w:color="000000"/>
              <w:bottom w:val="single" w:sz="6" w:space="0" w:color="000000"/>
              <w:right w:val="single" w:sz="6" w:space="0" w:color="000000"/>
            </w:tcBorders>
          </w:tcPr>
          <w:p w:rsidR="005E5029" w:rsidRPr="0033348B" w:rsidRDefault="005E5029"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40" w:type="dxa"/>
            <w:tcBorders>
              <w:top w:val="single" w:sz="6" w:space="0" w:color="000000"/>
              <w:bottom w:val="single" w:sz="6" w:space="0" w:color="000000"/>
              <w:right w:val="single" w:sz="6" w:space="0" w:color="000000"/>
            </w:tcBorders>
          </w:tcPr>
          <w:p w:rsidR="005E5029" w:rsidRPr="0033348B" w:rsidRDefault="005E5029" w:rsidP="00A80D7C">
            <w:pPr>
              <w:pStyle w:val="ListParagraph"/>
              <w:keepLines/>
              <w:numPr>
                <w:ilvl w:val="0"/>
                <w:numId w:val="17"/>
              </w:numPr>
              <w:spacing w:after="0" w:line="218" w:lineRule="atLeast"/>
              <w:ind w:left="255" w:hanging="255"/>
              <w:rPr>
                <w:rFonts w:ascii="Arial Narrow" w:hAnsi="Arial Narrow" w:cs="Tahoma"/>
                <w:sz w:val="18"/>
                <w:szCs w:val="18"/>
              </w:rPr>
            </w:pPr>
            <w:r w:rsidRPr="007F4E33">
              <w:rPr>
                <w:rFonts w:ascii="Arial Narrow" w:hAnsi="Arial Narrow" w:cs="Tahoma"/>
                <w:sz w:val="18"/>
                <w:szCs w:val="18"/>
              </w:rPr>
              <w:t>Number of people trained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5E5029" w:rsidRPr="001A1B8D" w:rsidRDefault="005E5029" w:rsidP="00293CED">
            <w:pPr>
              <w:keepLines/>
              <w:spacing w:after="0" w:line="218" w:lineRule="atLeast"/>
              <w:rPr>
                <w:rFonts w:ascii="Arial Narrow" w:hAnsi="Arial Narrow" w:cs="Tahoma"/>
                <w:color w:val="000000"/>
                <w:sz w:val="18"/>
                <w:szCs w:val="17"/>
              </w:rPr>
            </w:pPr>
          </w:p>
        </w:tc>
        <w:tc>
          <w:tcPr>
            <w:tcW w:w="3953" w:type="dxa"/>
            <w:tcBorders>
              <w:top w:val="single" w:sz="6" w:space="0" w:color="000000"/>
              <w:bottom w:val="single" w:sz="6" w:space="0" w:color="000000"/>
              <w:right w:val="single" w:sz="6" w:space="0" w:color="000000"/>
            </w:tcBorders>
          </w:tcPr>
          <w:p w:rsidR="005E5029" w:rsidRPr="001A1B8D" w:rsidRDefault="005E5029"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940" w:type="dxa"/>
            <w:tcBorders>
              <w:top w:val="single" w:sz="6" w:space="0" w:color="000000"/>
              <w:bottom w:val="single" w:sz="6" w:space="0" w:color="000000"/>
              <w:right w:val="single" w:sz="6" w:space="0" w:color="000000"/>
            </w:tcBorders>
          </w:tcPr>
          <w:p w:rsidR="005E5029" w:rsidRPr="0040497B" w:rsidRDefault="005E5029" w:rsidP="00A80D7C">
            <w:pPr>
              <w:keepLines/>
              <w:numPr>
                <w:ilvl w:val="0"/>
                <w:numId w:val="18"/>
              </w:numPr>
              <w:tabs>
                <w:tab w:val="left" w:pos="288"/>
              </w:tabs>
              <w:spacing w:after="0" w:line="240" w:lineRule="auto"/>
              <w:ind w:left="255" w:hanging="25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5E5029" w:rsidRPr="0040497B" w:rsidRDefault="005E5029" w:rsidP="00A80D7C">
            <w:pPr>
              <w:keepLines/>
              <w:numPr>
                <w:ilvl w:val="0"/>
                <w:numId w:val="18"/>
              </w:numPr>
              <w:tabs>
                <w:tab w:val="left" w:pos="288"/>
              </w:tabs>
              <w:spacing w:after="0" w:line="240" w:lineRule="auto"/>
              <w:ind w:left="255" w:hanging="255"/>
              <w:rPr>
                <w:rFonts w:ascii="Arial Narrow" w:hAnsi="Arial Narrow" w:cs="Tahoma"/>
                <w:sz w:val="18"/>
                <w:szCs w:val="18"/>
              </w:rPr>
            </w:pPr>
            <w:r w:rsidRPr="0040497B">
              <w:rPr>
                <w:rFonts w:ascii="Arial Narrow" w:hAnsi="Arial Narrow" w:cs="Tahoma"/>
                <w:sz w:val="18"/>
                <w:szCs w:val="18"/>
              </w:rPr>
              <w:t>Number of programs served by TTA</w:t>
            </w:r>
          </w:p>
          <w:p w:rsidR="005E5029" w:rsidRPr="0040497B" w:rsidRDefault="005E5029" w:rsidP="00A80D7C">
            <w:pPr>
              <w:keepLines/>
              <w:numPr>
                <w:ilvl w:val="0"/>
                <w:numId w:val="18"/>
              </w:numPr>
              <w:tabs>
                <w:tab w:val="left" w:pos="288"/>
              </w:tabs>
              <w:spacing w:after="0" w:line="240" w:lineRule="auto"/>
              <w:ind w:left="255" w:hanging="255"/>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5E5029" w:rsidRPr="001A1B8D" w:rsidRDefault="005E5029" w:rsidP="00293CED">
            <w:pPr>
              <w:keepLines/>
              <w:spacing w:after="0" w:line="218" w:lineRule="atLeast"/>
              <w:rPr>
                <w:rFonts w:ascii="Arial Narrow" w:hAnsi="Arial Narrow" w:cs="Tahoma"/>
                <w:color w:val="000000"/>
                <w:sz w:val="18"/>
                <w:szCs w:val="17"/>
              </w:rPr>
            </w:pPr>
          </w:p>
        </w:tc>
        <w:tc>
          <w:tcPr>
            <w:tcW w:w="3953" w:type="dxa"/>
            <w:tcBorders>
              <w:top w:val="single" w:sz="6" w:space="0" w:color="000000"/>
              <w:bottom w:val="single" w:sz="6" w:space="0" w:color="000000"/>
              <w:right w:val="single" w:sz="6" w:space="0" w:color="000000"/>
            </w:tcBorders>
          </w:tcPr>
          <w:p w:rsidR="005E5029" w:rsidRPr="001A1B8D" w:rsidRDefault="005E5029"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40" w:type="dxa"/>
            <w:tcBorders>
              <w:top w:val="single" w:sz="6" w:space="0" w:color="000000"/>
              <w:bottom w:val="single" w:sz="6" w:space="0" w:color="000000"/>
              <w:right w:val="single" w:sz="6" w:space="0" w:color="000000"/>
            </w:tcBorders>
          </w:tcPr>
          <w:p w:rsidR="005E5029" w:rsidRPr="0040497B" w:rsidRDefault="005E5029" w:rsidP="005E5029">
            <w:pPr>
              <w:keepLines/>
              <w:numPr>
                <w:ilvl w:val="0"/>
                <w:numId w:val="7"/>
              </w:numPr>
              <w:tabs>
                <w:tab w:val="left" w:pos="285"/>
              </w:tabs>
              <w:spacing w:after="0" w:line="240" w:lineRule="auto"/>
              <w:ind w:left="345" w:hanging="34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5E5029" w:rsidRPr="0040497B" w:rsidRDefault="005E5029" w:rsidP="005E5029">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5E5029" w:rsidRPr="00904641" w:rsidRDefault="005E5029" w:rsidP="00293CED">
            <w:pPr>
              <w:keepLines/>
              <w:spacing w:after="0" w:line="240" w:lineRule="auto"/>
              <w:rPr>
                <w:rFonts w:ascii="Arial Narrow" w:hAnsi="Arial Narrow" w:cs="Tahoma"/>
                <w:bCs/>
                <w:sz w:val="18"/>
                <w:szCs w:val="18"/>
              </w:rPr>
            </w:pPr>
          </w:p>
        </w:tc>
        <w:tc>
          <w:tcPr>
            <w:tcW w:w="3953" w:type="dxa"/>
            <w:tcBorders>
              <w:top w:val="single" w:sz="6" w:space="0" w:color="000000"/>
              <w:bottom w:val="single" w:sz="6" w:space="0" w:color="000000"/>
              <w:right w:val="single" w:sz="6" w:space="0" w:color="000000"/>
            </w:tcBorders>
          </w:tcPr>
          <w:p w:rsidR="005E5029" w:rsidRPr="00904641" w:rsidRDefault="005E5029"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40" w:type="dxa"/>
            <w:tcBorders>
              <w:top w:val="single" w:sz="6" w:space="0" w:color="000000"/>
              <w:bottom w:val="single" w:sz="6" w:space="0" w:color="000000"/>
              <w:right w:val="single" w:sz="6" w:space="0" w:color="000000"/>
            </w:tcBorders>
          </w:tcPr>
          <w:p w:rsidR="005E5029" w:rsidRPr="0040497B" w:rsidRDefault="005E5029" w:rsidP="005E5029">
            <w:pPr>
              <w:keepLines/>
              <w:numPr>
                <w:ilvl w:val="0"/>
                <w:numId w:val="8"/>
              </w:numPr>
              <w:tabs>
                <w:tab w:val="left" w:pos="288"/>
              </w:tabs>
              <w:spacing w:after="0" w:line="240" w:lineRule="auto"/>
              <w:ind w:left="345" w:hanging="34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5E5029" w:rsidRPr="0040497B" w:rsidRDefault="005E5029" w:rsidP="005E5029">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5E5029" w:rsidRPr="0040497B" w:rsidRDefault="005E5029" w:rsidP="005E5029">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r w:rsidR="005E5029" w:rsidRPr="00EE4B12" w:rsidTr="005F7B09">
        <w:trPr>
          <w:cantSplit/>
        </w:trPr>
        <w:tc>
          <w:tcPr>
            <w:tcW w:w="34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18" w:lineRule="atLeast"/>
              <w:rPr>
                <w:rFonts w:ascii="Arial Narrow" w:hAnsi="Arial Narrow" w:cs="Tahoma"/>
                <w:color w:val="000000"/>
                <w:sz w:val="18"/>
                <w:szCs w:val="17"/>
              </w:rPr>
            </w:pPr>
          </w:p>
        </w:tc>
        <w:tc>
          <w:tcPr>
            <w:tcW w:w="2197" w:type="dxa"/>
            <w:tcBorders>
              <w:top w:val="single" w:sz="6" w:space="0" w:color="000000"/>
              <w:left w:val="single" w:sz="6" w:space="0" w:color="000000"/>
              <w:bottom w:val="single" w:sz="6" w:space="0" w:color="000000"/>
              <w:right w:val="single" w:sz="6" w:space="0" w:color="000000"/>
            </w:tcBorders>
          </w:tcPr>
          <w:p w:rsidR="005E5029" w:rsidRPr="0033348B" w:rsidRDefault="005E5029"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953" w:type="dxa"/>
            <w:tcBorders>
              <w:top w:val="single" w:sz="6" w:space="0" w:color="000000"/>
              <w:bottom w:val="single" w:sz="6" w:space="0" w:color="000000"/>
              <w:right w:val="single" w:sz="6" w:space="0" w:color="000000"/>
            </w:tcBorders>
          </w:tcPr>
          <w:p w:rsidR="005E5029" w:rsidRPr="0033348B" w:rsidRDefault="005E5029"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940" w:type="dxa"/>
            <w:tcBorders>
              <w:top w:val="single" w:sz="6" w:space="0" w:color="000000"/>
              <w:bottom w:val="single" w:sz="6" w:space="0" w:color="000000"/>
              <w:right w:val="single" w:sz="6" w:space="0" w:color="000000"/>
            </w:tcBorders>
          </w:tcPr>
          <w:p w:rsidR="005E5029" w:rsidRPr="0040497B" w:rsidRDefault="005E5029" w:rsidP="005E5029">
            <w:pPr>
              <w:keepLines/>
              <w:numPr>
                <w:ilvl w:val="0"/>
                <w:numId w:val="9"/>
              </w:numPr>
              <w:tabs>
                <w:tab w:val="left" w:pos="288"/>
              </w:tabs>
              <w:spacing w:after="0" w:line="240" w:lineRule="auto"/>
              <w:ind w:left="345" w:hanging="345"/>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5E5029" w:rsidRPr="0040497B" w:rsidRDefault="005E5029" w:rsidP="005E5029">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5E5029" w:rsidRPr="0040497B" w:rsidRDefault="005E5029" w:rsidP="005E5029">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515" w:type="dxa"/>
            <w:tcBorders>
              <w:top w:val="single" w:sz="6" w:space="0" w:color="000000"/>
              <w:bottom w:val="single" w:sz="6" w:space="0" w:color="000000"/>
              <w:right w:val="single" w:sz="6" w:space="0" w:color="000000"/>
            </w:tcBorders>
          </w:tcPr>
          <w:p w:rsidR="005E5029" w:rsidRDefault="005E5029" w:rsidP="00293CED">
            <w:pPr>
              <w:keepLines/>
              <w:spacing w:after="0" w:line="218" w:lineRule="atLeast"/>
              <w:rPr>
                <w:rFonts w:ascii="Arial Narrow" w:hAnsi="Arial Narrow" w:cs="Tahoma"/>
                <w:color w:val="000000"/>
                <w:sz w:val="18"/>
                <w:szCs w:val="17"/>
              </w:rPr>
            </w:pPr>
          </w:p>
        </w:tc>
      </w:tr>
    </w:tbl>
    <w:p w:rsidR="007F62EE" w:rsidRDefault="007F62EE"/>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p w:rsidR="005E5029" w:rsidRDefault="005E5029"/>
    <w:tbl>
      <w:tblPr>
        <w:tblW w:w="5000" w:type="pct"/>
        <w:tblCellMar>
          <w:top w:w="75" w:type="dxa"/>
          <w:left w:w="75" w:type="dxa"/>
          <w:bottom w:w="75" w:type="dxa"/>
          <w:right w:w="75" w:type="dxa"/>
        </w:tblCellMar>
        <w:tblLook w:val="0000" w:firstRow="0" w:lastRow="0" w:firstColumn="0" w:lastColumn="0" w:noHBand="0" w:noVBand="0"/>
      </w:tblPr>
      <w:tblGrid>
        <w:gridCol w:w="355"/>
        <w:gridCol w:w="2338"/>
        <w:gridCol w:w="3073"/>
        <w:gridCol w:w="3305"/>
        <w:gridCol w:w="1879"/>
      </w:tblGrid>
      <w:tr w:rsidR="005E5029" w:rsidRPr="00636FE4" w:rsidTr="00A437B0">
        <w:trPr>
          <w:cantSplit/>
          <w:trHeight w:val="205"/>
          <w:tblHeader/>
        </w:trPr>
        <w:tc>
          <w:tcPr>
            <w:tcW w:w="355" w:type="dxa"/>
            <w:tcBorders>
              <w:left w:val="single" w:sz="4" w:space="0" w:color="auto"/>
              <w:bottom w:val="single" w:sz="6" w:space="0" w:color="000000"/>
              <w:right w:val="single" w:sz="6" w:space="0" w:color="FFFFFF"/>
            </w:tcBorders>
            <w:shd w:val="clear" w:color="auto" w:fill="003366"/>
            <w:vAlign w:val="center"/>
          </w:tcPr>
          <w:p w:rsidR="005E5029" w:rsidRPr="00A437B0" w:rsidRDefault="005E5029" w:rsidP="00293CED">
            <w:pPr>
              <w:keepLines/>
              <w:spacing w:after="0" w:line="240" w:lineRule="auto"/>
              <w:rPr>
                <w:rFonts w:ascii="Arial Narrow Bold" w:hAnsi="Arial Narrow Bold" w:cs="Tahoma"/>
                <w:b/>
                <w:color w:val="FFFFFF"/>
                <w:sz w:val="18"/>
                <w:szCs w:val="18"/>
              </w:rPr>
            </w:pPr>
            <w:r w:rsidRPr="00A437B0">
              <w:rPr>
                <w:rStyle w:val="Strong"/>
                <w:rFonts w:ascii="Arial Narrow Bold" w:hAnsi="Arial Narrow Bold" w:cs="Tahoma"/>
                <w:color w:val="FFFFFF"/>
                <w:sz w:val="18"/>
                <w:szCs w:val="18"/>
              </w:rPr>
              <w:lastRenderedPageBreak/>
              <w:t>#</w:t>
            </w:r>
          </w:p>
        </w:tc>
        <w:tc>
          <w:tcPr>
            <w:tcW w:w="2345" w:type="dxa"/>
            <w:tcBorders>
              <w:left w:val="single" w:sz="6" w:space="0" w:color="FFFFFF"/>
              <w:bottom w:val="single" w:sz="6" w:space="0" w:color="000000"/>
              <w:right w:val="single" w:sz="6" w:space="0" w:color="FFFFFF"/>
            </w:tcBorders>
            <w:shd w:val="clear" w:color="auto" w:fill="003366"/>
            <w:vAlign w:val="center"/>
          </w:tcPr>
          <w:p w:rsidR="005E5029" w:rsidRPr="00A437B0" w:rsidRDefault="005E5029" w:rsidP="00293CED">
            <w:pPr>
              <w:keepLines/>
              <w:spacing w:after="0" w:line="240" w:lineRule="auto"/>
              <w:rPr>
                <w:rFonts w:ascii="Arial Narrow Bold" w:hAnsi="Arial Narrow Bold" w:cs="Tahoma"/>
                <w:b/>
                <w:color w:val="FFFFFF"/>
                <w:sz w:val="18"/>
                <w:szCs w:val="18"/>
              </w:rPr>
            </w:pPr>
            <w:r w:rsidRPr="00A437B0">
              <w:rPr>
                <w:rStyle w:val="Strong"/>
                <w:rFonts w:ascii="Arial Narrow Bold" w:hAnsi="Arial Narrow Bold" w:cs="Tahoma"/>
                <w:color w:val="FFFFFF"/>
                <w:sz w:val="18"/>
                <w:szCs w:val="18"/>
              </w:rPr>
              <w:t>Outcome Measure</w:t>
            </w:r>
          </w:p>
        </w:tc>
        <w:tc>
          <w:tcPr>
            <w:tcW w:w="3084" w:type="dxa"/>
            <w:tcBorders>
              <w:left w:val="single" w:sz="6" w:space="0" w:color="FFFFFF"/>
              <w:bottom w:val="single" w:sz="6" w:space="0" w:color="000000"/>
              <w:right w:val="single" w:sz="6" w:space="0" w:color="FFFFFF"/>
            </w:tcBorders>
            <w:shd w:val="clear" w:color="auto" w:fill="003366"/>
            <w:vAlign w:val="center"/>
          </w:tcPr>
          <w:p w:rsidR="005E5029" w:rsidRPr="00A437B0" w:rsidRDefault="005E5029" w:rsidP="00293CED">
            <w:pPr>
              <w:keepLines/>
              <w:spacing w:after="0" w:line="240" w:lineRule="auto"/>
              <w:rPr>
                <w:rFonts w:ascii="Arial Narrow Bold" w:hAnsi="Arial Narrow Bold" w:cs="Tahoma"/>
                <w:b/>
                <w:color w:val="FFFFFF"/>
                <w:sz w:val="18"/>
                <w:szCs w:val="18"/>
              </w:rPr>
            </w:pPr>
            <w:r w:rsidRPr="00A437B0">
              <w:rPr>
                <w:rStyle w:val="Strong"/>
                <w:rFonts w:ascii="Arial Narrow Bold" w:hAnsi="Arial Narrow Bold" w:cs="Tahoma"/>
                <w:color w:val="FFFFFF"/>
                <w:sz w:val="18"/>
                <w:szCs w:val="18"/>
              </w:rPr>
              <w:t>Definition</w:t>
            </w:r>
          </w:p>
        </w:tc>
        <w:tc>
          <w:tcPr>
            <w:tcW w:w="3305" w:type="dxa"/>
            <w:tcBorders>
              <w:left w:val="single" w:sz="6" w:space="0" w:color="FFFFFF"/>
              <w:bottom w:val="single" w:sz="6" w:space="0" w:color="000000"/>
              <w:right w:val="single" w:sz="6" w:space="0" w:color="FFFFFF"/>
            </w:tcBorders>
            <w:shd w:val="clear" w:color="auto" w:fill="003366"/>
            <w:noWrap/>
            <w:vAlign w:val="center"/>
          </w:tcPr>
          <w:p w:rsidR="005E5029" w:rsidRPr="00A437B0" w:rsidRDefault="005E5029" w:rsidP="00293CED">
            <w:pPr>
              <w:keepLines/>
              <w:spacing w:after="0" w:line="240" w:lineRule="auto"/>
              <w:rPr>
                <w:rFonts w:ascii="Arial Narrow Bold" w:hAnsi="Arial Narrow Bold" w:cs="Tahoma"/>
                <w:b/>
                <w:color w:val="FFFFFF"/>
                <w:sz w:val="18"/>
                <w:szCs w:val="18"/>
              </w:rPr>
            </w:pPr>
            <w:r w:rsidRPr="00A437B0">
              <w:rPr>
                <w:rStyle w:val="Strong"/>
                <w:rFonts w:ascii="Arial Narrow Bold" w:hAnsi="Arial Narrow Bold" w:cs="Tahoma"/>
                <w:color w:val="FFFFFF"/>
                <w:sz w:val="18"/>
                <w:szCs w:val="18"/>
              </w:rPr>
              <w:t>Data Grantee Provides</w:t>
            </w:r>
          </w:p>
        </w:tc>
        <w:tc>
          <w:tcPr>
            <w:tcW w:w="1886" w:type="dxa"/>
            <w:tcBorders>
              <w:left w:val="single" w:sz="6" w:space="0" w:color="FFFFFF"/>
              <w:bottom w:val="single" w:sz="6" w:space="0" w:color="000000"/>
              <w:right w:val="single" w:sz="6" w:space="0" w:color="000000"/>
            </w:tcBorders>
            <w:shd w:val="clear" w:color="auto" w:fill="003366"/>
          </w:tcPr>
          <w:p w:rsidR="005E5029" w:rsidRPr="00A437B0" w:rsidRDefault="005E5029" w:rsidP="00293CED">
            <w:pPr>
              <w:keepLines/>
              <w:spacing w:after="0" w:line="240" w:lineRule="auto"/>
              <w:rPr>
                <w:rStyle w:val="Strong"/>
                <w:rFonts w:ascii="Arial Narrow Bold" w:hAnsi="Arial Narrow Bold" w:cs="Tahoma"/>
                <w:color w:val="FFFFFF"/>
                <w:sz w:val="18"/>
                <w:szCs w:val="18"/>
              </w:rPr>
            </w:pPr>
            <w:r w:rsidRPr="00A437B0">
              <w:rPr>
                <w:rStyle w:val="Strong"/>
                <w:rFonts w:ascii="Arial Narrow Bold" w:hAnsi="Arial Narrow Bold" w:cs="Tahoma"/>
                <w:color w:val="FFFFFF"/>
                <w:sz w:val="18"/>
                <w:szCs w:val="18"/>
              </w:rPr>
              <w:t>Record Data Here</w:t>
            </w: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Number and percent of prosecutors that handle cases involving juvenile offenders exclusively</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system effectiveness based on the idea that specialization can lead to more effective staff. Appropriate for programs staffing prosecutors that can potentially handle adult or juvenile cases (this will probably be at the county/county village, rancheria, pueblo, reservation or jurisdictional level rather than the court unit level). Report the raw number of prosecutors in the program that prosecute only cases involving juvenile offenders or cases handled through the juvenile court. Percent is the raw number divided by the total number of prosecutors.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juvenile-only prosecutors</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prosecutors</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Percent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Number and percent of cases disposed involving drugs, gangs, or youth violence</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total number of relevant cases disposed of (i.e., closed). Percent is the raw number divided by the total number of relevant cases open during any part of the reporting period.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cases disposed</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cases</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Percent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Number and percent of violent offenders cases prosecuted on a "fast track"</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total number of relevant cases handled according to the rules of “fast track” prosecution. Percent is the raw number divided by the total number of cases involving violent juvenile offenders open during any part of the reporting period.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cases fast-tracked</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cases</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Percent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Number of options available for handling cases involving drugs, gangs, or youth violence</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program accountability based on the idea that it is important to be able to individualize case outcomes. Appropriate for programs through which cases involving drugs, gangs, or youth violence are processed. Include options for case handling (e.g., fast track prosecution or diversion) as well as case dispositions (e.g., participation in restorative justice programs, detention, probation). Report the raw number of different options available at any point in the prosecution process.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193"/>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options available</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Time in hours spent per month by prosecution staff coordinating between other court units</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system accountability based on the idea that system collaboration results in better service. Appropriate for programs that involve, or operate with, more than one court unit. Report the total number of hours per month for all prosecution staff spent coordinating between or collaborating with staff of other court units. This might include joint meetings, sharing reports or data, discussing methods for handling cases, and coordinating staff schedules across units for shared staff.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193"/>
              </w:tabs>
              <w:spacing w:after="0" w:line="240" w:lineRule="auto"/>
              <w:ind w:left="171" w:hanging="148"/>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hours per month spent on coordination</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Number and percent of cases involving drugs, gangs or youth violence to be prosecuted using community prosecution principles</w:t>
            </w:r>
            <w:r>
              <w:rPr>
                <w:rFonts w:ascii="Arial Narrow" w:hAnsi="Arial Narrow" w:cs="Tahoma"/>
                <w:color w:val="000000"/>
                <w:sz w:val="18"/>
                <w:szCs w:val="17"/>
              </w:rPr>
              <w:t xml:space="preserve"> (short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system accountability based on the idea that bringing the community into the prosecution process makes systems more accountable to the communities in which they operate. Appropriate for programs that prosecute drug, gang, or violence cases involving juvenile offenders. Report the raw number of cases handled using community prosecution principles. Percent is the raw number divided by the total number of drug, gang, or violence cases involving juvenile offenders prosecuted by the grantee.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61" w:hanging="238"/>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cases handled through community prosecution</w:t>
            </w:r>
          </w:p>
          <w:p w:rsidR="005E5029" w:rsidRDefault="005E5029" w:rsidP="00293CED">
            <w:pPr>
              <w:keepLines/>
              <w:tabs>
                <w:tab w:val="left" w:pos="201"/>
              </w:tabs>
              <w:spacing w:after="0" w:line="240" w:lineRule="auto"/>
              <w:ind w:left="261" w:hanging="238"/>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cases</w:t>
            </w:r>
          </w:p>
          <w:p w:rsidR="005E5029" w:rsidRDefault="005E5029" w:rsidP="00293CED">
            <w:pPr>
              <w:keepLines/>
              <w:tabs>
                <w:tab w:val="left" w:pos="201"/>
              </w:tabs>
              <w:spacing w:after="0" w:line="240" w:lineRule="auto"/>
              <w:ind w:left="261" w:hanging="238"/>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Percent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Average time in days from a case being assigned to the prosecution unit to disposition for cases involving drugs, gangs, or youth violence</w:t>
            </w:r>
            <w:r>
              <w:rPr>
                <w:rFonts w:ascii="Arial Narrow" w:hAnsi="Arial Narrow" w:cs="Tahoma"/>
                <w:color w:val="000000"/>
                <w:sz w:val="18"/>
                <w:szCs w:val="17"/>
              </w:rPr>
              <w:t xml:space="preserve"> (intermediate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program efficiency. Appropriate for programs that prosecute drug, gang or violence cases involving juvenile offenders. Report the average number of calendar days from a case assigned to the prosecution unit until it is closed by the prosecution unit.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193"/>
              </w:tabs>
              <w:spacing w:after="0" w:line="240" w:lineRule="auto"/>
              <w:ind w:left="171" w:hanging="148"/>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Average number of days from assignment to closing a case</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Ratio of senior staff to junior staff</w:t>
            </w:r>
            <w:r>
              <w:rPr>
                <w:rFonts w:ascii="Arial Narrow" w:hAnsi="Arial Narrow" w:cs="Tahoma"/>
                <w:color w:val="000000"/>
                <w:sz w:val="18"/>
                <w:szCs w:val="17"/>
              </w:rPr>
              <w:t xml:space="preserve"> (intermediate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infrastructure, based on the idea that there needs to a balance between senior and junior staff for an office to work efficiently. Appropriate for programs that staff prosecutors. Report the number of senior staff divided by the number of junior staff.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senior staff</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junior staff</w:t>
            </w:r>
          </w:p>
          <w:p w:rsidR="005E5029" w:rsidRDefault="005E5029" w:rsidP="00293CED">
            <w:pPr>
              <w:keepLines/>
              <w:tabs>
                <w:tab w:val="left" w:pos="201"/>
              </w:tabs>
              <w:spacing w:after="0" w:line="240" w:lineRule="auto"/>
              <w:ind w:left="23"/>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Number of senior to junior staff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r w:rsidR="005E5029" w:rsidRPr="00982DBD" w:rsidTr="00A437B0">
        <w:trPr>
          <w:cantSplit/>
        </w:trPr>
        <w:tc>
          <w:tcPr>
            <w:tcW w:w="355" w:type="dxa"/>
            <w:tcBorders>
              <w:top w:val="single" w:sz="6" w:space="0" w:color="000000"/>
              <w:left w:val="single" w:sz="6" w:space="0" w:color="000000"/>
              <w:bottom w:val="single" w:sz="6" w:space="0" w:color="000000"/>
            </w:tcBorders>
          </w:tcPr>
          <w:p w:rsidR="005E5029" w:rsidRPr="00A86593" w:rsidRDefault="005E5029" w:rsidP="00A86593">
            <w:pPr>
              <w:pStyle w:val="ListParagraph"/>
              <w:keepLines/>
              <w:numPr>
                <w:ilvl w:val="0"/>
                <w:numId w:val="10"/>
              </w:numPr>
              <w:spacing w:after="0" w:line="240" w:lineRule="auto"/>
              <w:rPr>
                <w:rFonts w:ascii="Arial Narrow" w:hAnsi="Arial Narrow" w:cs="Tahoma"/>
                <w:color w:val="000000"/>
                <w:sz w:val="18"/>
                <w:szCs w:val="17"/>
              </w:rPr>
            </w:pPr>
          </w:p>
        </w:tc>
        <w:tc>
          <w:tcPr>
            <w:tcW w:w="2345" w:type="dxa"/>
            <w:tcBorders>
              <w:top w:val="single" w:sz="6" w:space="0" w:color="000000"/>
              <w:left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Hours and percent of prosecutor hours per month spent on cases involving first time offenders</w:t>
            </w:r>
            <w:r>
              <w:rPr>
                <w:rFonts w:ascii="Arial Narrow" w:hAnsi="Arial Narrow" w:cs="Tahoma"/>
                <w:color w:val="000000"/>
                <w:sz w:val="18"/>
                <w:szCs w:val="17"/>
              </w:rPr>
              <w:t xml:space="preserve"> (intermediate term)</w:t>
            </w:r>
          </w:p>
        </w:tc>
        <w:tc>
          <w:tcPr>
            <w:tcW w:w="3084"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r w:rsidRPr="00982DBD">
              <w:rPr>
                <w:rFonts w:ascii="Arial Narrow" w:hAnsi="Arial Narrow" w:cs="Tahoma"/>
                <w:color w:val="000000"/>
                <w:sz w:val="18"/>
                <w:szCs w:val="17"/>
              </w:rPr>
              <w:t>Measure of system operation. Helps determine where resources are being expended. Appropriate for programs that prosecute both first-time and repeat juvenile offenders. Report the average number of hours per month per prosecutor spent working cases involving first-time offenders. Divide the average above by the average number of working hours per month for those same prosecutors. For both calculations, include all prosecutors in the program or grantee, not just those handling first-time offenders. </w:t>
            </w:r>
          </w:p>
        </w:tc>
        <w:tc>
          <w:tcPr>
            <w:tcW w:w="3305" w:type="dxa"/>
            <w:tcBorders>
              <w:top w:val="single" w:sz="6" w:space="0" w:color="000000"/>
              <w:bottom w:val="single" w:sz="6" w:space="0" w:color="000000"/>
              <w:right w:val="single" w:sz="6" w:space="0" w:color="000000"/>
            </w:tcBorders>
          </w:tcPr>
          <w:p w:rsidR="005E5029" w:rsidRDefault="005E5029" w:rsidP="00293CED">
            <w:pPr>
              <w:keepLines/>
              <w:tabs>
                <w:tab w:val="left" w:pos="201"/>
              </w:tabs>
              <w:spacing w:after="0" w:line="240" w:lineRule="auto"/>
              <w:ind w:left="259" w:hanging="236"/>
              <w:rPr>
                <w:rFonts w:ascii="Arial Narrow" w:hAnsi="Arial Narrow" w:cs="Tahoma"/>
                <w:color w:val="000000"/>
                <w:sz w:val="18"/>
                <w:szCs w:val="17"/>
              </w:rPr>
            </w:pPr>
            <w:r w:rsidRPr="00982DBD">
              <w:rPr>
                <w:rFonts w:ascii="Arial Narrow" w:hAnsi="Arial Narrow" w:cs="Tahoma"/>
                <w:color w:val="000000"/>
                <w:sz w:val="18"/>
                <w:szCs w:val="17"/>
              </w:rPr>
              <w:t>A.</w:t>
            </w:r>
            <w:r w:rsidRPr="00982DBD">
              <w:rPr>
                <w:rFonts w:ascii="Arial Narrow" w:hAnsi="Arial Narrow" w:cs="Tahoma"/>
                <w:color w:val="000000"/>
                <w:sz w:val="18"/>
                <w:szCs w:val="17"/>
              </w:rPr>
              <w:tab/>
              <w:t>Number of hours per month on first-time offenders</w:t>
            </w:r>
          </w:p>
          <w:p w:rsidR="005E5029" w:rsidRDefault="005E5029" w:rsidP="00293CED">
            <w:pPr>
              <w:keepLines/>
              <w:tabs>
                <w:tab w:val="left" w:pos="201"/>
              </w:tabs>
              <w:spacing w:after="0" w:line="240" w:lineRule="auto"/>
              <w:ind w:left="259" w:hanging="236"/>
              <w:rPr>
                <w:rFonts w:ascii="Arial Narrow" w:hAnsi="Arial Narrow" w:cs="Tahoma"/>
                <w:color w:val="000000"/>
                <w:sz w:val="18"/>
                <w:szCs w:val="17"/>
              </w:rPr>
            </w:pPr>
            <w:r w:rsidRPr="00982DBD">
              <w:rPr>
                <w:rFonts w:ascii="Arial Narrow" w:hAnsi="Arial Narrow" w:cs="Tahoma"/>
                <w:color w:val="000000"/>
                <w:sz w:val="18"/>
                <w:szCs w:val="17"/>
              </w:rPr>
              <w:t>B.</w:t>
            </w:r>
            <w:r w:rsidRPr="00982DBD">
              <w:rPr>
                <w:rFonts w:ascii="Arial Narrow" w:hAnsi="Arial Narrow" w:cs="Tahoma"/>
                <w:color w:val="000000"/>
                <w:sz w:val="18"/>
                <w:szCs w:val="17"/>
              </w:rPr>
              <w:tab/>
              <w:t>Number of hours per month working</w:t>
            </w:r>
          </w:p>
          <w:p w:rsidR="005E5029" w:rsidRDefault="005E5029" w:rsidP="00293CED">
            <w:pPr>
              <w:keepLines/>
              <w:tabs>
                <w:tab w:val="left" w:pos="201"/>
              </w:tabs>
              <w:spacing w:after="0" w:line="240" w:lineRule="auto"/>
              <w:ind w:left="259" w:hanging="236"/>
              <w:rPr>
                <w:rFonts w:ascii="Arial Narrow" w:hAnsi="Arial Narrow" w:cs="Tahoma"/>
                <w:color w:val="000000"/>
                <w:sz w:val="18"/>
                <w:szCs w:val="17"/>
              </w:rPr>
            </w:pPr>
            <w:r w:rsidRPr="00982DBD">
              <w:rPr>
                <w:rFonts w:ascii="Arial Narrow" w:hAnsi="Arial Narrow" w:cs="Tahoma"/>
                <w:color w:val="000000"/>
                <w:sz w:val="18"/>
                <w:szCs w:val="17"/>
              </w:rPr>
              <w:t>C.</w:t>
            </w:r>
            <w:r w:rsidRPr="00982DBD">
              <w:rPr>
                <w:rFonts w:ascii="Arial Narrow" w:hAnsi="Arial Narrow" w:cs="Tahoma"/>
                <w:color w:val="000000"/>
                <w:sz w:val="18"/>
                <w:szCs w:val="17"/>
              </w:rPr>
              <w:tab/>
              <w:t>Percent (a/b)</w:t>
            </w:r>
          </w:p>
          <w:p w:rsidR="005E5029" w:rsidRDefault="005E5029" w:rsidP="00293CED">
            <w:pPr>
              <w:keepLines/>
              <w:spacing w:after="0" w:line="240" w:lineRule="auto"/>
              <w:rPr>
                <w:rFonts w:ascii="Arial Narrow" w:hAnsi="Arial Narrow" w:cs="Tahoma"/>
                <w:color w:val="000000"/>
                <w:sz w:val="18"/>
                <w:szCs w:val="17"/>
              </w:rPr>
            </w:pPr>
          </w:p>
        </w:tc>
        <w:tc>
          <w:tcPr>
            <w:tcW w:w="1886" w:type="dxa"/>
            <w:tcBorders>
              <w:top w:val="single" w:sz="6" w:space="0" w:color="000000"/>
              <w:bottom w:val="single" w:sz="6" w:space="0" w:color="000000"/>
              <w:right w:val="single" w:sz="6" w:space="0" w:color="000000"/>
            </w:tcBorders>
          </w:tcPr>
          <w:p w:rsidR="005E5029" w:rsidRDefault="005E5029" w:rsidP="00293CED">
            <w:pPr>
              <w:keepLines/>
              <w:spacing w:after="0" w:line="240" w:lineRule="auto"/>
              <w:rPr>
                <w:rFonts w:ascii="Arial Narrow" w:hAnsi="Arial Narrow" w:cs="Tahoma"/>
                <w:color w:val="000000"/>
                <w:sz w:val="18"/>
                <w:szCs w:val="17"/>
              </w:rPr>
            </w:pPr>
          </w:p>
        </w:tc>
      </w:tr>
    </w:tbl>
    <w:p w:rsidR="005E5029" w:rsidRDefault="005E5029"/>
    <w:sectPr w:rsidR="005E5029" w:rsidSect="005E502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A0" w:rsidRDefault="00BD69A0" w:rsidP="005E5029">
      <w:pPr>
        <w:spacing w:after="0" w:line="240" w:lineRule="auto"/>
      </w:pPr>
      <w:r>
        <w:separator/>
      </w:r>
    </w:p>
  </w:endnote>
  <w:endnote w:type="continuationSeparator" w:id="0">
    <w:p w:rsidR="00BD69A0" w:rsidRDefault="00BD69A0" w:rsidP="005E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001747"/>
      <w:docPartObj>
        <w:docPartGallery w:val="Page Numbers (Bottom of Page)"/>
        <w:docPartUnique/>
      </w:docPartObj>
    </w:sdtPr>
    <w:sdtEndPr>
      <w:rPr>
        <w:noProof/>
      </w:rPr>
    </w:sdtEndPr>
    <w:sdtContent>
      <w:p w:rsidR="00455021" w:rsidRDefault="00455021" w:rsidP="00A437B0">
        <w:pPr>
          <w:pStyle w:val="Footer"/>
          <w:jc w:val="right"/>
        </w:pPr>
        <w:r>
          <w:fldChar w:fldCharType="begin"/>
        </w:r>
        <w:r>
          <w:instrText xml:space="preserve"> PAGE   \* MERGEFORMAT </w:instrText>
        </w:r>
        <w:r>
          <w:fldChar w:fldCharType="separate"/>
        </w:r>
        <w:r w:rsidR="00A437B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A0" w:rsidRDefault="00BD69A0" w:rsidP="005E5029">
      <w:pPr>
        <w:spacing w:after="0" w:line="240" w:lineRule="auto"/>
      </w:pPr>
      <w:r>
        <w:separator/>
      </w:r>
    </w:p>
  </w:footnote>
  <w:footnote w:type="continuationSeparator" w:id="0">
    <w:p w:rsidR="00BD69A0" w:rsidRDefault="00BD69A0" w:rsidP="005E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029" w:rsidRPr="008776B6" w:rsidRDefault="005E5029" w:rsidP="005E5029">
    <w:pPr>
      <w:pStyle w:val="Heading1"/>
      <w:spacing w:before="0" w:after="0"/>
      <w:rPr>
        <w:color w:val="auto"/>
      </w:rPr>
    </w:pPr>
    <w:r w:rsidRPr="008776B6">
      <w:rPr>
        <w:color w:val="auto"/>
      </w:rPr>
      <w:t>Office of Juvenile Justice and Delinquency Prevention</w:t>
    </w:r>
  </w:p>
  <w:p w:rsidR="005E5029" w:rsidRPr="00195C88" w:rsidRDefault="005E5029" w:rsidP="005E5029">
    <w:pPr>
      <w:pStyle w:val="Heading1"/>
      <w:spacing w:before="100"/>
      <w:rPr>
        <w:rStyle w:val="instructions1"/>
        <w:rFonts w:cs="Arial"/>
        <w:bCs/>
      </w:rPr>
    </w:pPr>
    <w:r w:rsidRPr="00195C88">
      <w:rPr>
        <w:rStyle w:val="instructions1"/>
        <w:rFonts w:cs="Arial"/>
        <w:bCs/>
      </w:rPr>
      <w:t>Tribal Juvenile Accountability Discretionary Grant Program (T-JADG)</w:t>
    </w:r>
  </w:p>
  <w:p w:rsidR="005E5029" w:rsidRPr="005E5029" w:rsidRDefault="005E5029" w:rsidP="005E5029">
    <w:pPr>
      <w:pStyle w:val="Heading1"/>
      <w:spacing w:after="100"/>
      <w:rPr>
        <w:color w:val="auto"/>
      </w:rPr>
    </w:pPr>
    <w:r>
      <w:rPr>
        <w:color w:val="auto"/>
      </w:rPr>
      <w:t>funding for</w:t>
    </w:r>
    <w:r w:rsidRPr="00B03AC4">
      <w:rPr>
        <w:color w:val="auto"/>
      </w:rPr>
      <w:t xml:space="preserve"> </w:t>
    </w:r>
    <w:r>
      <w:rPr>
        <w:color w:val="auto"/>
      </w:rPr>
      <w:t>prosecutors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C57"/>
    <w:multiLevelType w:val="hybridMultilevel"/>
    <w:tmpl w:val="1BCCB63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047"/>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06F8785F"/>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4C3"/>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2146C"/>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B7F3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552C0"/>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5125F"/>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E7D5A"/>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538C7"/>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C718B"/>
    <w:multiLevelType w:val="hybridMultilevel"/>
    <w:tmpl w:val="BA46B4AA"/>
    <w:lvl w:ilvl="0" w:tplc="7384EF72">
      <w:start w:val="1"/>
      <w:numFmt w:val="upperLetter"/>
      <w:lvlText w:val="%1."/>
      <w:lvlJc w:val="left"/>
      <w:pPr>
        <w:ind w:left="720" w:hanging="360"/>
      </w:pPr>
      <w:rPr>
        <w:rFonts w:hint="default"/>
        <w:b w:val="0"/>
        <w:i w:val="0"/>
        <w:color w:val="000000" w:themeColor="text1"/>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26642"/>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49BE3D9D"/>
    <w:multiLevelType w:val="hybridMultilevel"/>
    <w:tmpl w:val="C8445D7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FE5A9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 w15:restartNumberingAfterBreak="0">
    <w:nsid w:val="4F9306A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523B5F4F"/>
    <w:multiLevelType w:val="hybridMultilevel"/>
    <w:tmpl w:val="2A00D15C"/>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B2020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529C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1"/>
  </w:num>
  <w:num w:numId="2">
    <w:abstractNumId w:val="11"/>
  </w:num>
  <w:num w:numId="3">
    <w:abstractNumId w:val="13"/>
  </w:num>
  <w:num w:numId="4">
    <w:abstractNumId w:val="17"/>
  </w:num>
  <w:num w:numId="5">
    <w:abstractNumId w:val="14"/>
  </w:num>
  <w:num w:numId="6">
    <w:abstractNumId w:val="8"/>
  </w:num>
  <w:num w:numId="7">
    <w:abstractNumId w:val="6"/>
  </w:num>
  <w:num w:numId="8">
    <w:abstractNumId w:val="16"/>
  </w:num>
  <w:num w:numId="9">
    <w:abstractNumId w:val="5"/>
  </w:num>
  <w:num w:numId="10">
    <w:abstractNumId w:val="0"/>
  </w:num>
  <w:num w:numId="11">
    <w:abstractNumId w:val="15"/>
  </w:num>
  <w:num w:numId="12">
    <w:abstractNumId w:val="12"/>
  </w:num>
  <w:num w:numId="13">
    <w:abstractNumId w:val="9"/>
  </w:num>
  <w:num w:numId="14">
    <w:abstractNumId w:val="4"/>
  </w:num>
  <w:num w:numId="15">
    <w:abstractNumId w:val="3"/>
  </w:num>
  <w:num w:numId="16">
    <w:abstractNumId w:val="2"/>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29"/>
    <w:rsid w:val="00455021"/>
    <w:rsid w:val="005E5029"/>
    <w:rsid w:val="005F7B09"/>
    <w:rsid w:val="007F62EE"/>
    <w:rsid w:val="00A437B0"/>
    <w:rsid w:val="00A80D7C"/>
    <w:rsid w:val="00A86593"/>
    <w:rsid w:val="00BD69A0"/>
    <w:rsid w:val="00EB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42E02-4AD2-404E-8BD2-7BA859EE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029"/>
  </w:style>
  <w:style w:type="paragraph" w:styleId="Heading1">
    <w:name w:val="heading 1"/>
    <w:basedOn w:val="Normal"/>
    <w:next w:val="BodyText"/>
    <w:link w:val="Heading1Char"/>
    <w:qFormat/>
    <w:rsid w:val="005E5029"/>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029"/>
  </w:style>
  <w:style w:type="paragraph" w:styleId="Footer">
    <w:name w:val="footer"/>
    <w:basedOn w:val="Normal"/>
    <w:link w:val="FooterChar"/>
    <w:uiPriority w:val="99"/>
    <w:unhideWhenUsed/>
    <w:rsid w:val="005E5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029"/>
  </w:style>
  <w:style w:type="character" w:customStyle="1" w:styleId="Heading1Char">
    <w:name w:val="Heading 1 Char"/>
    <w:basedOn w:val="DefaultParagraphFont"/>
    <w:link w:val="Heading1"/>
    <w:rsid w:val="005E5029"/>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5E5029"/>
  </w:style>
  <w:style w:type="paragraph" w:styleId="BodyText">
    <w:name w:val="Body Text"/>
    <w:basedOn w:val="Normal"/>
    <w:link w:val="BodyTextChar"/>
    <w:uiPriority w:val="99"/>
    <w:semiHidden/>
    <w:unhideWhenUsed/>
    <w:rsid w:val="005E5029"/>
    <w:pPr>
      <w:spacing w:after="120"/>
    </w:pPr>
  </w:style>
  <w:style w:type="character" w:customStyle="1" w:styleId="BodyTextChar">
    <w:name w:val="Body Text Char"/>
    <w:basedOn w:val="DefaultParagraphFont"/>
    <w:link w:val="BodyText"/>
    <w:uiPriority w:val="99"/>
    <w:semiHidden/>
    <w:rsid w:val="005E5029"/>
  </w:style>
  <w:style w:type="character" w:styleId="Strong">
    <w:name w:val="Strong"/>
    <w:qFormat/>
    <w:rsid w:val="005E5029"/>
    <w:rPr>
      <w:b/>
      <w:bCs/>
    </w:rPr>
  </w:style>
  <w:style w:type="paragraph" w:styleId="ListParagraph">
    <w:name w:val="List Paragraph"/>
    <w:basedOn w:val="Normal"/>
    <w:uiPriority w:val="34"/>
    <w:qFormat/>
    <w:rsid w:val="005E5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2021-08-11T20:43:00Z</dcterms:created>
  <dcterms:modified xsi:type="dcterms:W3CDTF">2021-08-11T20:43:00Z</dcterms:modified>
</cp:coreProperties>
</file>