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0" w:type="dxa"/>
        <w:tblCellMar>
          <w:top w:w="75" w:type="dxa"/>
          <w:left w:w="75" w:type="dxa"/>
          <w:bottom w:w="75" w:type="dxa"/>
          <w:right w:w="75" w:type="dxa"/>
        </w:tblCellMar>
        <w:tblLook w:val="0000" w:firstRow="0" w:lastRow="0" w:firstColumn="0" w:lastColumn="0" w:noHBand="0" w:noVBand="0"/>
      </w:tblPr>
      <w:tblGrid>
        <w:gridCol w:w="330"/>
        <w:gridCol w:w="1908"/>
        <w:gridCol w:w="4074"/>
        <w:gridCol w:w="3142"/>
        <w:gridCol w:w="1496"/>
      </w:tblGrid>
      <w:tr w:rsidR="00BB4F72" w:rsidRPr="00530807" w:rsidTr="009655A1">
        <w:trPr>
          <w:cantSplit/>
          <w:tblHeader/>
        </w:trPr>
        <w:tc>
          <w:tcPr>
            <w:tcW w:w="0" w:type="auto"/>
            <w:tcBorders>
              <w:left w:val="single" w:sz="4" w:space="0" w:color="auto"/>
              <w:bottom w:val="single" w:sz="6" w:space="0" w:color="000000"/>
              <w:right w:val="single" w:sz="6" w:space="0" w:color="FFFFFF"/>
            </w:tcBorders>
            <w:shd w:val="clear" w:color="auto" w:fill="003366"/>
            <w:vAlign w:val="center"/>
          </w:tcPr>
          <w:p w:rsidR="00BB4F72" w:rsidRDefault="00BB4F72" w:rsidP="00293CED">
            <w:pPr>
              <w:keepLines/>
              <w:spacing w:after="0" w:line="195" w:lineRule="atLeast"/>
              <w:rPr>
                <w:rFonts w:ascii="Arial Narrow Bold" w:hAnsi="Arial Narrow Bold" w:cs="Tahoma"/>
                <w:b/>
                <w:color w:val="FFFFFF"/>
                <w:sz w:val="20"/>
                <w:szCs w:val="17"/>
              </w:rPr>
            </w:pPr>
            <w:bookmarkStart w:id="0" w:name="_GoBack"/>
            <w:bookmarkEnd w:id="0"/>
            <w:r w:rsidRPr="00530807">
              <w:rPr>
                <w:rStyle w:val="Strong"/>
                <w:rFonts w:ascii="Arial Narrow Bold" w:hAnsi="Arial Narrow Bold" w:cs="Tahoma"/>
                <w:color w:val="FFFFFF"/>
                <w:sz w:val="20"/>
                <w:szCs w:val="17"/>
              </w:rPr>
              <w:t>#</w:t>
            </w:r>
          </w:p>
        </w:tc>
        <w:tc>
          <w:tcPr>
            <w:tcW w:w="1908" w:type="dxa"/>
            <w:tcBorders>
              <w:left w:val="single" w:sz="6" w:space="0" w:color="FFFFFF"/>
              <w:bottom w:val="single" w:sz="6" w:space="0" w:color="000000"/>
              <w:right w:val="single" w:sz="6" w:space="0" w:color="FFFFFF"/>
            </w:tcBorders>
            <w:shd w:val="clear" w:color="auto" w:fill="003366"/>
            <w:vAlign w:val="center"/>
          </w:tcPr>
          <w:p w:rsidR="00BB4F72" w:rsidRDefault="00BB4F72" w:rsidP="00293CED">
            <w:pPr>
              <w:keepLines/>
              <w:spacing w:after="0" w:line="195" w:lineRule="atLeast"/>
              <w:rPr>
                <w:rFonts w:ascii="Arial Narrow Bold" w:hAnsi="Arial Narrow Bold" w:cs="Tahoma"/>
                <w:b/>
                <w:color w:val="FFFFFF"/>
                <w:sz w:val="20"/>
                <w:szCs w:val="17"/>
              </w:rPr>
            </w:pPr>
            <w:r w:rsidRPr="00530807">
              <w:rPr>
                <w:rStyle w:val="Strong"/>
                <w:rFonts w:ascii="Arial Narrow Bold" w:hAnsi="Arial Narrow Bold" w:cs="Tahoma"/>
                <w:color w:val="FFFFFF"/>
                <w:sz w:val="20"/>
                <w:szCs w:val="17"/>
              </w:rPr>
              <w:t>Output Measure</w:t>
            </w:r>
          </w:p>
        </w:tc>
        <w:tc>
          <w:tcPr>
            <w:tcW w:w="4074" w:type="dxa"/>
            <w:tcBorders>
              <w:left w:val="single" w:sz="6" w:space="0" w:color="FFFFFF"/>
              <w:bottom w:val="single" w:sz="6" w:space="0" w:color="000000"/>
              <w:right w:val="single" w:sz="6" w:space="0" w:color="FFFFFF"/>
            </w:tcBorders>
            <w:shd w:val="clear" w:color="auto" w:fill="003366"/>
            <w:vAlign w:val="center"/>
          </w:tcPr>
          <w:p w:rsidR="00BB4F72" w:rsidRDefault="00BB4F72" w:rsidP="00293CED">
            <w:pPr>
              <w:keepLines/>
              <w:spacing w:after="0" w:line="195" w:lineRule="atLeast"/>
              <w:rPr>
                <w:rFonts w:ascii="Arial Narrow Bold" w:hAnsi="Arial Narrow Bold" w:cs="Tahoma"/>
                <w:b/>
                <w:color w:val="FFFFFF"/>
                <w:sz w:val="20"/>
                <w:szCs w:val="17"/>
              </w:rPr>
            </w:pPr>
            <w:r w:rsidRPr="00530807">
              <w:rPr>
                <w:rStyle w:val="Strong"/>
                <w:rFonts w:ascii="Arial Narrow Bold" w:hAnsi="Arial Narrow Bold" w:cs="Tahoma"/>
                <w:color w:val="FFFFFF"/>
                <w:sz w:val="20"/>
                <w:szCs w:val="17"/>
              </w:rPr>
              <w:t>Definition</w:t>
            </w:r>
          </w:p>
        </w:tc>
        <w:tc>
          <w:tcPr>
            <w:tcW w:w="3142" w:type="dxa"/>
            <w:tcBorders>
              <w:left w:val="single" w:sz="6" w:space="0" w:color="FFFFFF"/>
              <w:bottom w:val="single" w:sz="6" w:space="0" w:color="000000"/>
              <w:right w:val="single" w:sz="6" w:space="0" w:color="FFFFFF"/>
            </w:tcBorders>
            <w:shd w:val="clear" w:color="auto" w:fill="003366"/>
            <w:noWrap/>
            <w:vAlign w:val="center"/>
          </w:tcPr>
          <w:p w:rsidR="00BB4F72" w:rsidRDefault="00BB4F72" w:rsidP="00293CED">
            <w:pPr>
              <w:keepLines/>
              <w:spacing w:after="0" w:line="195" w:lineRule="atLeast"/>
              <w:rPr>
                <w:rFonts w:ascii="Arial Narrow Bold" w:hAnsi="Arial Narrow Bold" w:cs="Tahoma"/>
                <w:b/>
                <w:color w:val="FFFFFF"/>
                <w:sz w:val="18"/>
                <w:szCs w:val="17"/>
              </w:rPr>
            </w:pPr>
            <w:r w:rsidRPr="00530807">
              <w:rPr>
                <w:rStyle w:val="Strong"/>
                <w:rFonts w:ascii="Arial Narrow Bold" w:hAnsi="Arial Narrow Bold" w:cs="Tahoma"/>
                <w:color w:val="FFFFFF"/>
                <w:sz w:val="18"/>
                <w:szCs w:val="17"/>
              </w:rPr>
              <w:t>Data Grantee Provides</w:t>
            </w:r>
          </w:p>
        </w:tc>
        <w:tc>
          <w:tcPr>
            <w:tcW w:w="1496" w:type="dxa"/>
            <w:tcBorders>
              <w:left w:val="single" w:sz="6" w:space="0" w:color="FFFFFF"/>
              <w:bottom w:val="single" w:sz="6" w:space="0" w:color="000000"/>
            </w:tcBorders>
            <w:shd w:val="clear" w:color="auto" w:fill="003366"/>
          </w:tcPr>
          <w:p w:rsidR="00BB4F72" w:rsidRDefault="00BB4F72" w:rsidP="00293CED">
            <w:pPr>
              <w:keepLines/>
              <w:spacing w:after="0" w:line="195" w:lineRule="atLeast"/>
              <w:rPr>
                <w:rStyle w:val="Strong"/>
                <w:rFonts w:ascii="Arial Narrow Bold" w:hAnsi="Arial Narrow Bold" w:cs="Tahoma"/>
                <w:color w:val="FFFFFF"/>
                <w:sz w:val="18"/>
                <w:szCs w:val="17"/>
              </w:rPr>
            </w:pPr>
            <w:r w:rsidRPr="00530807">
              <w:rPr>
                <w:rStyle w:val="Strong"/>
                <w:rFonts w:ascii="Arial Narrow Bold" w:hAnsi="Arial Narrow Bold" w:cs="Tahoma"/>
                <w:color w:val="FFFFFF"/>
                <w:sz w:val="18"/>
                <w:szCs w:val="17"/>
              </w:rPr>
              <w:t>Record Data Here</w:t>
            </w: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Amount of JABG/Tribal JADG funds awarded for system improvement</w:t>
            </w:r>
          </w:p>
          <w:p w:rsidR="00BB4F72" w:rsidRDefault="00BB4F72" w:rsidP="00293CED">
            <w:pPr>
              <w:keepLines/>
              <w:spacing w:after="0" w:line="218" w:lineRule="atLeast"/>
              <w:rPr>
                <w:rFonts w:ascii="Arial Narrow" w:hAnsi="Arial Narrow" w:cs="Tahoma"/>
                <w:color w:val="000000"/>
                <w:sz w:val="18"/>
                <w:szCs w:val="17"/>
              </w:rPr>
            </w:pPr>
          </w:p>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System Improvements Mandatory</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193"/>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Funds awarded to program for services</w:t>
            </w:r>
          </w:p>
          <w:p w:rsidR="00BB4F72" w:rsidRDefault="00BB4F72" w:rsidP="00293CED">
            <w:pPr>
              <w:keepLines/>
              <w:spacing w:after="0" w:line="218" w:lineRule="atLeast"/>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graduated sanctions policies instituted</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level of program development. Most appropriate for sites that are developing graduated sanctions and may have developed program guidelines or policies but not yet implemented the program fully. Report the raw number of graduated sanctions policies developed by the grantee site.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193"/>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graduated sanctions policies</w:t>
            </w:r>
          </w:p>
          <w:p w:rsidR="00BB4F72" w:rsidRDefault="00BB4F72" w:rsidP="00293CED">
            <w:pPr>
              <w:keepLines/>
              <w:tabs>
                <w:tab w:val="left" w:pos="193"/>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juvenile justice units that are implementing graduated sanctions programs</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coverage of the graduated sanctions approach within the local juvenile justice system. Most appropriate for projects run through local units of government or tribal equivalent. Report the number of units within the local juvenile justice system that are implementing, or in the process of implementing, graduated sanctions programs in the process? Includes things like training staff on graduated sanctions, developing policies on the use of graduated sanctions, or developing sub-contracts with service providers in anticipation of program.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193"/>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units implementing graduated sanctions programs</w:t>
            </w:r>
          </w:p>
          <w:p w:rsidR="00BB4F72" w:rsidRDefault="00BB4F72" w:rsidP="00293CED">
            <w:pPr>
              <w:keepLines/>
              <w:tabs>
                <w:tab w:val="left" w:pos="193"/>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programs using graduated sanctions</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coverage of graduated sanction approaches within an agency or juvenile justice unit. Most appropriate for grantees that run more than one program for juvenile offenders. Report the raw number of different graduated sanctions programs implemented. Percent is raw number divided by the total number of programs run by the grantee.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different graduated sanctions programs implemented</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Total number of programs run by the grantee</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293CED">
            <w:pPr>
              <w:keepLines/>
              <w:tabs>
                <w:tab w:val="left" w:pos="193"/>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supervision meetings per youth in graduated sanctions programs</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whether graduated sanctions are being used as intended with the frequent use of supervision meetings. This measures system accountability. Appropriate for all programs implementing graduated sanctions programs. Report the total number of supervision meetings held with youth divided by the number of youth served through graduated sanctions programs during the reporting period. Meetings are not limited to face-to-face contact but may include other forms of contact with youth such as telephone calls.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supervision meetings held</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youth served</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Number of meetings per</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youth who had a behavioral contract developed when they entered a program that was part of a graduated sanctions approach</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the raw number of youth with a contract developed at intake divided by the total number of youth to enter the graduated sanctions program.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youth with a behavioral contract developed when they entered the program</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youth to enter the program</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sanctioning options available at each level (immediate, intermediate, secure care, and aftercare/reentry)</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coverage of the graduated sanctions approach within the local juvenile justice system. Most appropriate for projects responsible for justice supervision of youth (e.g., courts, probation departments, detention facilities). Report raw number of different sanctioning options by level. Different implies that the options either employ different techniques or activities, target different populations, or have different goals.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different immediate sanctioning options</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different intermediate sanctioning options</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Number of different secure care sanctioning options</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D.</w:t>
            </w:r>
            <w:r w:rsidRPr="001A1B8D">
              <w:rPr>
                <w:rFonts w:ascii="Arial Narrow" w:hAnsi="Arial Narrow" w:cs="Tahoma"/>
                <w:color w:val="000000"/>
                <w:sz w:val="18"/>
                <w:szCs w:val="17"/>
              </w:rPr>
              <w:tab/>
              <w:t>Number of different aftercare/reentry sanctioning options</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9655A1">
        <w:trPr>
          <w:cantSplit/>
        </w:trPr>
        <w:tc>
          <w:tcPr>
            <w:tcW w:w="0" w:type="auto"/>
            <w:tcBorders>
              <w:top w:val="single" w:sz="6" w:space="0" w:color="000000"/>
              <w:left w:val="single" w:sz="6" w:space="0" w:color="000000"/>
              <w:bottom w:val="single" w:sz="6" w:space="0" w:color="000000"/>
            </w:tcBorders>
          </w:tcPr>
          <w:p w:rsidR="00BB4F72" w:rsidRPr="00B13678" w:rsidRDefault="00BB4F72" w:rsidP="00B13678">
            <w:pPr>
              <w:pStyle w:val="ListParagraph"/>
              <w:keepLines/>
              <w:numPr>
                <w:ilvl w:val="0"/>
                <w:numId w:val="10"/>
              </w:numPr>
              <w:spacing w:after="0" w:line="218" w:lineRule="atLeast"/>
              <w:rPr>
                <w:rFonts w:ascii="Arial Narrow" w:hAnsi="Arial Narrow" w:cs="Tahoma"/>
                <w:color w:val="000000"/>
                <w:sz w:val="18"/>
                <w:szCs w:val="17"/>
              </w:rPr>
            </w:pPr>
          </w:p>
        </w:tc>
        <w:tc>
          <w:tcPr>
            <w:tcW w:w="1908"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staff trained on the use of graduated sanctions</w:t>
            </w:r>
          </w:p>
        </w:tc>
        <w:tc>
          <w:tcPr>
            <w:tcW w:w="407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To determine coverage of the graduated sanctions approach within an agency or unit of local government or tribal equivalent with regard to institutional investment as expressed through training provided. Appropriate for any agency or unit of government or tribal equivalent that directly serves youth and is implementing a graduated sanctions program. Report the raw number of staff trained during the reporting period. Percent is the raw number divided by the total number of staff who offers direct services to youth.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w:t>
            </w:r>
          </w:p>
        </w:tc>
        <w:tc>
          <w:tcPr>
            <w:tcW w:w="3142" w:type="dxa"/>
            <w:tcBorders>
              <w:top w:val="single" w:sz="6" w:space="0" w:color="000000"/>
              <w:bottom w:val="single" w:sz="6" w:space="0" w:color="000000"/>
              <w:right w:val="single" w:sz="6" w:space="0" w:color="000000"/>
            </w:tcBorders>
          </w:tcPr>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staff trained</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staff who offer direct services</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293CED">
            <w:pPr>
              <w:keepLines/>
              <w:tabs>
                <w:tab w:val="left" w:pos="201"/>
              </w:tabs>
              <w:spacing w:after="0" w:line="218" w:lineRule="atLeast"/>
              <w:ind w:left="219" w:hanging="196"/>
              <w:rPr>
                <w:rFonts w:ascii="Arial Narrow" w:hAnsi="Arial Narrow" w:cs="Tahoma"/>
                <w:color w:val="000000"/>
                <w:sz w:val="18"/>
                <w:szCs w:val="17"/>
              </w:rPr>
            </w:pPr>
          </w:p>
        </w:tc>
        <w:tc>
          <w:tcPr>
            <w:tcW w:w="1496"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bl>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p w:rsidR="00BB4F72" w:rsidRDefault="00BB4F72"/>
    <w:tbl>
      <w:tblPr>
        <w:tblW w:w="5000" w:type="pct"/>
        <w:tblCellMar>
          <w:top w:w="75" w:type="dxa"/>
          <w:left w:w="75" w:type="dxa"/>
          <w:bottom w:w="75" w:type="dxa"/>
          <w:right w:w="75" w:type="dxa"/>
        </w:tblCellMar>
        <w:tblLook w:val="0000" w:firstRow="0" w:lastRow="0" w:firstColumn="0" w:lastColumn="0" w:noHBand="0" w:noVBand="0"/>
      </w:tblPr>
      <w:tblGrid>
        <w:gridCol w:w="355"/>
        <w:gridCol w:w="2220"/>
        <w:gridCol w:w="4239"/>
        <w:gridCol w:w="2700"/>
        <w:gridCol w:w="1436"/>
      </w:tblGrid>
      <w:tr w:rsidR="00BB4F72" w:rsidRPr="00530807" w:rsidTr="004C2A03">
        <w:trPr>
          <w:cantSplit/>
          <w:trHeight w:val="205"/>
          <w:tblHeader/>
        </w:trPr>
        <w:tc>
          <w:tcPr>
            <w:tcW w:w="355" w:type="dxa"/>
            <w:tcBorders>
              <w:left w:val="single" w:sz="4" w:space="0" w:color="auto"/>
              <w:bottom w:val="single" w:sz="6" w:space="0" w:color="000000"/>
              <w:right w:val="single" w:sz="6" w:space="0" w:color="FFFFFF"/>
            </w:tcBorders>
            <w:shd w:val="clear" w:color="auto" w:fill="003366"/>
            <w:vAlign w:val="center"/>
          </w:tcPr>
          <w:p w:rsidR="00BB4F72" w:rsidRDefault="00BB4F72" w:rsidP="00293CED">
            <w:pPr>
              <w:keepLines/>
              <w:spacing w:after="0" w:line="218" w:lineRule="atLeast"/>
              <w:rPr>
                <w:rFonts w:ascii="Arial Narrow Bold" w:hAnsi="Arial Narrow Bold" w:cs="Tahoma"/>
                <w:b/>
                <w:color w:val="FFFFFF"/>
                <w:sz w:val="20"/>
                <w:szCs w:val="17"/>
              </w:rPr>
            </w:pPr>
            <w:r w:rsidRPr="00530807">
              <w:rPr>
                <w:rStyle w:val="Strong"/>
                <w:rFonts w:ascii="Arial Narrow Bold" w:hAnsi="Arial Narrow Bold" w:cs="Tahoma"/>
                <w:color w:val="FFFFFF"/>
                <w:sz w:val="20"/>
                <w:szCs w:val="17"/>
              </w:rPr>
              <w:lastRenderedPageBreak/>
              <w:t>#</w:t>
            </w:r>
          </w:p>
        </w:tc>
        <w:tc>
          <w:tcPr>
            <w:tcW w:w="2226" w:type="dxa"/>
            <w:tcBorders>
              <w:left w:val="single" w:sz="6" w:space="0" w:color="FFFFFF"/>
              <w:bottom w:val="single" w:sz="6" w:space="0" w:color="000000"/>
              <w:right w:val="single" w:sz="6" w:space="0" w:color="FFFFFF"/>
            </w:tcBorders>
            <w:shd w:val="clear" w:color="auto" w:fill="003366"/>
            <w:vAlign w:val="center"/>
          </w:tcPr>
          <w:p w:rsidR="00BB4F72" w:rsidRDefault="00BB4F72" w:rsidP="00293CED">
            <w:pPr>
              <w:keepLines/>
              <w:spacing w:after="0" w:line="218" w:lineRule="atLeast"/>
              <w:rPr>
                <w:rFonts w:ascii="Arial Narrow Bold" w:hAnsi="Arial Narrow Bold" w:cs="Tahoma"/>
                <w:b/>
                <w:color w:val="FFFFFF"/>
                <w:sz w:val="20"/>
                <w:szCs w:val="17"/>
              </w:rPr>
            </w:pPr>
            <w:r w:rsidRPr="00530807">
              <w:rPr>
                <w:rStyle w:val="Strong"/>
                <w:rFonts w:ascii="Arial Narrow Bold" w:hAnsi="Arial Narrow Bold" w:cs="Tahoma"/>
                <w:color w:val="FFFFFF"/>
                <w:sz w:val="20"/>
                <w:szCs w:val="17"/>
              </w:rPr>
              <w:t>Outcome Measure</w:t>
            </w:r>
          </w:p>
        </w:tc>
        <w:tc>
          <w:tcPr>
            <w:tcW w:w="4254" w:type="dxa"/>
            <w:tcBorders>
              <w:left w:val="single" w:sz="6" w:space="0" w:color="FFFFFF"/>
              <w:bottom w:val="single" w:sz="6" w:space="0" w:color="000000"/>
              <w:right w:val="single" w:sz="6" w:space="0" w:color="FFFFFF"/>
            </w:tcBorders>
            <w:shd w:val="clear" w:color="auto" w:fill="003366"/>
            <w:vAlign w:val="center"/>
          </w:tcPr>
          <w:p w:rsidR="00BB4F72" w:rsidRDefault="00BB4F72" w:rsidP="00293CED">
            <w:pPr>
              <w:keepLines/>
              <w:spacing w:after="0" w:line="218" w:lineRule="atLeast"/>
              <w:rPr>
                <w:rFonts w:ascii="Arial Narrow Bold" w:hAnsi="Arial Narrow Bold" w:cs="Tahoma"/>
                <w:b/>
                <w:color w:val="FFFFFF"/>
                <w:sz w:val="20"/>
                <w:szCs w:val="17"/>
              </w:rPr>
            </w:pPr>
            <w:r w:rsidRPr="00530807">
              <w:rPr>
                <w:rStyle w:val="Strong"/>
                <w:rFonts w:ascii="Arial Narrow Bold" w:hAnsi="Arial Narrow Bold" w:cs="Tahoma"/>
                <w:color w:val="FFFFFF"/>
                <w:sz w:val="20"/>
                <w:szCs w:val="17"/>
              </w:rPr>
              <w:t>Definition</w:t>
            </w:r>
          </w:p>
        </w:tc>
        <w:tc>
          <w:tcPr>
            <w:tcW w:w="2700" w:type="dxa"/>
            <w:tcBorders>
              <w:left w:val="single" w:sz="6" w:space="0" w:color="FFFFFF"/>
              <w:bottom w:val="single" w:sz="6" w:space="0" w:color="000000"/>
              <w:right w:val="single" w:sz="6" w:space="0" w:color="FFFFFF"/>
            </w:tcBorders>
            <w:shd w:val="clear" w:color="auto" w:fill="003366"/>
            <w:noWrap/>
            <w:vAlign w:val="center"/>
          </w:tcPr>
          <w:p w:rsidR="00BB4F72" w:rsidRDefault="00BB4F72" w:rsidP="00293CED">
            <w:pPr>
              <w:keepLines/>
              <w:spacing w:after="0" w:line="218" w:lineRule="atLeast"/>
              <w:rPr>
                <w:rFonts w:ascii="Arial Narrow Bold" w:hAnsi="Arial Narrow Bold" w:cs="Tahoma"/>
                <w:b/>
                <w:color w:val="FFFFFF"/>
                <w:sz w:val="18"/>
                <w:szCs w:val="17"/>
              </w:rPr>
            </w:pPr>
            <w:r w:rsidRPr="00530807">
              <w:rPr>
                <w:rStyle w:val="Strong"/>
                <w:rFonts w:ascii="Arial Narrow Bold" w:hAnsi="Arial Narrow Bold" w:cs="Tahoma"/>
                <w:color w:val="FFFFFF"/>
                <w:sz w:val="18"/>
                <w:szCs w:val="17"/>
              </w:rPr>
              <w:t>Data Grantee Provides</w:t>
            </w:r>
          </w:p>
        </w:tc>
        <w:tc>
          <w:tcPr>
            <w:tcW w:w="1440" w:type="dxa"/>
            <w:tcBorders>
              <w:left w:val="single" w:sz="6" w:space="0" w:color="FFFFFF"/>
              <w:bottom w:val="single" w:sz="6" w:space="0" w:color="000000"/>
              <w:right w:val="single" w:sz="6" w:space="0" w:color="000000"/>
            </w:tcBorders>
            <w:shd w:val="clear" w:color="auto" w:fill="003366"/>
          </w:tcPr>
          <w:p w:rsidR="00BB4F72" w:rsidRDefault="00BB4F72" w:rsidP="00293CED">
            <w:pPr>
              <w:keepLines/>
              <w:spacing w:after="0" w:line="218" w:lineRule="atLeast"/>
              <w:rPr>
                <w:rStyle w:val="Strong"/>
                <w:rFonts w:ascii="Arial Narrow Bold" w:hAnsi="Arial Narrow Bold" w:cs="Tahoma"/>
                <w:color w:val="FFFFFF"/>
                <w:sz w:val="18"/>
                <w:szCs w:val="17"/>
              </w:rPr>
            </w:pPr>
            <w:r w:rsidRPr="00530807">
              <w:rPr>
                <w:rStyle w:val="Strong"/>
                <w:rFonts w:ascii="Arial Narrow Bold" w:hAnsi="Arial Narrow Bold" w:cs="Tahoma"/>
                <w:color w:val="FFFFFF"/>
                <w:sz w:val="18"/>
                <w:szCs w:val="17"/>
              </w:rPr>
              <w:t>Record Data Here</w:t>
            </w: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00" w:type="dxa"/>
            <w:tcBorders>
              <w:top w:val="single" w:sz="6" w:space="0" w:color="000000"/>
              <w:bottom w:val="single" w:sz="6" w:space="0" w:color="000000"/>
              <w:right w:val="single" w:sz="6" w:space="0" w:color="000000"/>
            </w:tcBorders>
          </w:tcPr>
          <w:p w:rsidR="00BB4F72" w:rsidRPr="004211A8" w:rsidRDefault="00BB4F72" w:rsidP="004C2A03">
            <w:pPr>
              <w:pStyle w:val="ListParagraph"/>
              <w:keepLines/>
              <w:numPr>
                <w:ilvl w:val="0"/>
                <w:numId w:val="1"/>
              </w:numPr>
              <w:spacing w:after="0"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00" w:type="dxa"/>
            <w:tcBorders>
              <w:top w:val="single" w:sz="6" w:space="0" w:color="000000"/>
              <w:bottom w:val="single" w:sz="6" w:space="0" w:color="000000"/>
              <w:right w:val="single" w:sz="6" w:space="0" w:color="000000"/>
            </w:tcBorders>
          </w:tcPr>
          <w:p w:rsidR="00BB4F72" w:rsidRPr="004211A8" w:rsidRDefault="00BB4F72" w:rsidP="004C2A03">
            <w:pPr>
              <w:pStyle w:val="ListParagraph"/>
              <w:keepLines/>
              <w:numPr>
                <w:ilvl w:val="0"/>
                <w:numId w:val="2"/>
              </w:numPr>
              <w:spacing w:after="0"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w:t>
            </w:r>
          </w:p>
        </w:tc>
        <w:tc>
          <w:tcPr>
            <w:tcW w:w="2700" w:type="dxa"/>
            <w:tcBorders>
              <w:top w:val="single" w:sz="6" w:space="0" w:color="000000"/>
              <w:bottom w:val="single" w:sz="6" w:space="0" w:color="000000"/>
              <w:right w:val="single" w:sz="6" w:space="0" w:color="000000"/>
            </w:tcBorders>
          </w:tcPr>
          <w:p w:rsidR="00BB4F72" w:rsidRPr="004211A8" w:rsidRDefault="00BB4F72" w:rsidP="004C2A03">
            <w:pPr>
              <w:pStyle w:val="ListParagraph"/>
              <w:keepLines/>
              <w:numPr>
                <w:ilvl w:val="0"/>
                <w:numId w:val="3"/>
              </w:numPr>
              <w:spacing w:after="0"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program materials developed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0" w:type="dxa"/>
            <w:tcBorders>
              <w:top w:val="single" w:sz="6" w:space="0" w:color="000000"/>
              <w:bottom w:val="single" w:sz="6" w:space="0" w:color="000000"/>
              <w:right w:val="single" w:sz="6" w:space="0" w:color="000000"/>
            </w:tcBorders>
          </w:tcPr>
          <w:p w:rsidR="00BB4F72" w:rsidRPr="004211A8" w:rsidRDefault="00BB4F72" w:rsidP="004C2A03">
            <w:pPr>
              <w:pStyle w:val="ListParagraph"/>
              <w:keepLines/>
              <w:numPr>
                <w:ilvl w:val="0"/>
                <w:numId w:val="4"/>
              </w:numPr>
              <w:spacing w:after="0"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planning or training activities held during the reporting period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0" w:type="dxa"/>
            <w:tcBorders>
              <w:top w:val="single" w:sz="6" w:space="0" w:color="000000"/>
              <w:bottom w:val="single" w:sz="6" w:space="0" w:color="000000"/>
              <w:right w:val="single" w:sz="6" w:space="0" w:color="000000"/>
            </w:tcBorders>
          </w:tcPr>
          <w:p w:rsidR="00BB4F72" w:rsidRPr="00A04391" w:rsidRDefault="00BB4F72" w:rsidP="004C2A03">
            <w:pPr>
              <w:pStyle w:val="ListParagraph"/>
              <w:keepLines/>
              <w:numPr>
                <w:ilvl w:val="0"/>
                <w:numId w:val="5"/>
              </w:numPr>
              <w:spacing w:after="0" w:line="218" w:lineRule="atLeast"/>
              <w:ind w:left="195" w:hanging="195"/>
              <w:rPr>
                <w:rFonts w:ascii="Arial Narrow" w:hAnsi="Arial Narrow" w:cs="Tahoma"/>
                <w:color w:val="000000"/>
                <w:sz w:val="18"/>
                <w:szCs w:val="17"/>
              </w:rPr>
            </w:pPr>
            <w:r w:rsidRPr="00A04391">
              <w:rPr>
                <w:rFonts w:ascii="Arial Narrow" w:hAnsi="Arial Narrow" w:cs="Tahoma"/>
                <w:sz w:val="18"/>
                <w:szCs w:val="18"/>
              </w:rPr>
              <w:t>Number of people trained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00" w:type="dxa"/>
            <w:tcBorders>
              <w:top w:val="single" w:sz="6" w:space="0" w:color="000000"/>
              <w:bottom w:val="single" w:sz="6" w:space="0" w:color="000000"/>
              <w:right w:val="single" w:sz="6" w:space="0" w:color="000000"/>
            </w:tcBorders>
          </w:tcPr>
          <w:p w:rsidR="00BB4F72" w:rsidRPr="0040497B" w:rsidRDefault="00BB4F72" w:rsidP="004C2A03">
            <w:pPr>
              <w:keepLines/>
              <w:numPr>
                <w:ilvl w:val="0"/>
                <w:numId w:val="6"/>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BB4F72" w:rsidRPr="0040497B" w:rsidRDefault="00BB4F72" w:rsidP="004C2A03">
            <w:pPr>
              <w:keepLines/>
              <w:numPr>
                <w:ilvl w:val="0"/>
                <w:numId w:val="6"/>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Number of programs served by TTA</w:t>
            </w:r>
          </w:p>
          <w:p w:rsidR="00BB4F72" w:rsidRPr="0040497B" w:rsidRDefault="00BB4F72" w:rsidP="004C2A03">
            <w:pPr>
              <w:keepLines/>
              <w:numPr>
                <w:ilvl w:val="0"/>
                <w:numId w:val="6"/>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00" w:type="dxa"/>
            <w:tcBorders>
              <w:top w:val="single" w:sz="6" w:space="0" w:color="000000"/>
              <w:bottom w:val="single" w:sz="6" w:space="0" w:color="000000"/>
              <w:right w:val="single" w:sz="6" w:space="0" w:color="000000"/>
            </w:tcBorders>
          </w:tcPr>
          <w:p w:rsidR="00BB4F72" w:rsidRPr="0040497B" w:rsidRDefault="00BB4F72" w:rsidP="004C2A03">
            <w:pPr>
              <w:keepLines/>
              <w:numPr>
                <w:ilvl w:val="0"/>
                <w:numId w:val="7"/>
              </w:numPr>
              <w:tabs>
                <w:tab w:val="left" w:pos="322"/>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BB4F72" w:rsidRPr="0040497B" w:rsidRDefault="00BB4F72" w:rsidP="004C2A03">
            <w:pPr>
              <w:keepLines/>
              <w:numPr>
                <w:ilvl w:val="0"/>
                <w:numId w:val="7"/>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BB4F72" w:rsidRPr="001A1B8D" w:rsidRDefault="00BB4F72" w:rsidP="00293CED">
            <w:pPr>
              <w:keepLines/>
              <w:spacing w:after="0" w:line="218" w:lineRule="atLeast"/>
              <w:rPr>
                <w:rFonts w:ascii="Arial Narrow" w:hAnsi="Arial Narrow" w:cs="Tahoma"/>
                <w:color w:val="000000"/>
                <w:sz w:val="18"/>
                <w:szCs w:val="17"/>
              </w:rPr>
            </w:pP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00" w:type="dxa"/>
            <w:tcBorders>
              <w:top w:val="single" w:sz="6" w:space="0" w:color="000000"/>
              <w:bottom w:val="single" w:sz="6" w:space="0" w:color="000000"/>
              <w:right w:val="single" w:sz="6" w:space="0" w:color="000000"/>
            </w:tcBorders>
          </w:tcPr>
          <w:p w:rsidR="00BB4F72" w:rsidRPr="0040497B" w:rsidRDefault="00BB4F72" w:rsidP="004C2A03">
            <w:pPr>
              <w:keepLines/>
              <w:numPr>
                <w:ilvl w:val="0"/>
                <w:numId w:val="8"/>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BB4F72" w:rsidRPr="0040497B" w:rsidRDefault="00BB4F72" w:rsidP="004C2A03">
            <w:pPr>
              <w:keepLines/>
              <w:numPr>
                <w:ilvl w:val="0"/>
                <w:numId w:val="8"/>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BB4F72" w:rsidRPr="0040497B" w:rsidRDefault="00BB4F72" w:rsidP="004C2A03">
            <w:pPr>
              <w:keepLines/>
              <w:numPr>
                <w:ilvl w:val="0"/>
                <w:numId w:val="8"/>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bCs/>
                <w:sz w:val="18"/>
                <w:szCs w:val="18"/>
              </w:rPr>
              <w:t>Percent of organizations reporting improvements in operations based on training and technical assistance (TTA).</w:t>
            </w:r>
          </w:p>
        </w:tc>
        <w:tc>
          <w:tcPr>
            <w:tcW w:w="4254" w:type="dxa"/>
            <w:tcBorders>
              <w:top w:val="single" w:sz="6" w:space="0" w:color="000000"/>
              <w:bottom w:val="single" w:sz="6" w:space="0" w:color="000000"/>
              <w:right w:val="single" w:sz="6" w:space="0" w:color="000000"/>
            </w:tcBorders>
          </w:tcPr>
          <w:p w:rsidR="00BB4F72" w:rsidRPr="001A1B8D" w:rsidRDefault="00BB4F7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00" w:type="dxa"/>
            <w:tcBorders>
              <w:top w:val="single" w:sz="6" w:space="0" w:color="000000"/>
              <w:bottom w:val="single" w:sz="6" w:space="0" w:color="000000"/>
              <w:right w:val="single" w:sz="6" w:space="0" w:color="000000"/>
            </w:tcBorders>
          </w:tcPr>
          <w:p w:rsidR="00BB4F72" w:rsidRPr="0040497B" w:rsidRDefault="00BB4F72" w:rsidP="004C2A03">
            <w:pPr>
              <w:keepLines/>
              <w:numPr>
                <w:ilvl w:val="0"/>
                <w:numId w:val="9"/>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BB4F72" w:rsidRPr="0040497B" w:rsidRDefault="00BB4F72" w:rsidP="004C2A03">
            <w:pPr>
              <w:keepLines/>
              <w:numPr>
                <w:ilvl w:val="0"/>
                <w:numId w:val="9"/>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BB4F72" w:rsidRPr="0040497B" w:rsidRDefault="00BB4F72" w:rsidP="004C2A03">
            <w:pPr>
              <w:keepLines/>
              <w:numPr>
                <w:ilvl w:val="0"/>
                <w:numId w:val="9"/>
              </w:numPr>
              <w:tabs>
                <w:tab w:val="left" w:pos="288"/>
              </w:tabs>
              <w:spacing w:after="0" w:line="240" w:lineRule="auto"/>
              <w:ind w:left="195" w:hanging="195"/>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sanctions that were successfully contested</w:t>
            </w:r>
            <w:r>
              <w:rPr>
                <w:rFonts w:ascii="Arial Narrow" w:hAnsi="Arial Narrow" w:cs="Tahoma"/>
                <w:color w:val="000000"/>
                <w:sz w:val="18"/>
                <w:szCs w:val="17"/>
              </w:rPr>
              <w:t xml:space="preserve"> (short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Gain insight into the appropriateness of sanctions imposed based on the assumption that overturned sanctions were inappropriate or inappropriately applied. Most appropriate for programs that are implementing graduated sanctions programs. Report the raw number of sanctions that were overturned. Percent is the raw number divided by the total number of sanctions applied. </w:t>
            </w:r>
          </w:p>
        </w:tc>
        <w:tc>
          <w:tcPr>
            <w:tcW w:w="2700" w:type="dxa"/>
            <w:tcBorders>
              <w:top w:val="single" w:sz="6" w:space="0" w:color="000000"/>
              <w:bottom w:val="single" w:sz="6" w:space="0" w:color="000000"/>
              <w:right w:val="single" w:sz="6" w:space="0" w:color="000000"/>
            </w:tcBorders>
          </w:tcPr>
          <w:p w:rsidR="00BB4F72" w:rsidRDefault="00BB4F72" w:rsidP="00293CED">
            <w:pPr>
              <w:keepLines/>
              <w:tabs>
                <w:tab w:val="left" w:pos="207"/>
              </w:tabs>
              <w:spacing w:after="0" w:line="218" w:lineRule="atLeast"/>
              <w:ind w:left="23"/>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sanctions overturned</w:t>
            </w:r>
          </w:p>
          <w:p w:rsidR="00BB4F72" w:rsidRDefault="00BB4F72" w:rsidP="00293CED">
            <w:pPr>
              <w:keepLines/>
              <w:tabs>
                <w:tab w:val="left" w:pos="207"/>
              </w:tabs>
              <w:spacing w:after="0" w:line="218" w:lineRule="atLeast"/>
              <w:ind w:left="23"/>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sanctions applied</w:t>
            </w:r>
          </w:p>
          <w:p w:rsidR="00BB4F72" w:rsidRDefault="00BB4F72" w:rsidP="00293CED">
            <w:pPr>
              <w:keepLines/>
              <w:tabs>
                <w:tab w:val="left" w:pos="207"/>
              </w:tabs>
              <w:spacing w:after="0" w:line="218" w:lineRule="atLeast"/>
              <w:ind w:left="23"/>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293CED">
            <w:pPr>
              <w:keepLines/>
              <w:spacing w:after="0" w:line="218" w:lineRule="atLeast"/>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hours of service received per youth</w:t>
            </w:r>
            <w:r>
              <w:rPr>
                <w:rFonts w:ascii="Arial Narrow" w:hAnsi="Arial Narrow" w:cs="Tahoma"/>
                <w:color w:val="000000"/>
                <w:sz w:val="18"/>
                <w:szCs w:val="17"/>
              </w:rPr>
              <w:t xml:space="preserve"> (short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Measure the amount of service youth are getting through the graduated sanctions program. Appropriate for programs with implemented graduated sanctions programs. Report the total number of hours of service that youth in the program received divided by the number of youth in the program. Include both hours of service directly offered by the program as well as hours of service received due to program participation (e.g., hours of service received through agencies affiliated with, or that sub-contract to, the grantee). </w:t>
            </w:r>
          </w:p>
        </w:tc>
        <w:tc>
          <w:tcPr>
            <w:tcW w:w="2700" w:type="dxa"/>
            <w:tcBorders>
              <w:top w:val="single" w:sz="6" w:space="0" w:color="000000"/>
              <w:bottom w:val="single" w:sz="6" w:space="0" w:color="000000"/>
              <w:right w:val="single" w:sz="6" w:space="0" w:color="000000"/>
            </w:tcBorders>
          </w:tcPr>
          <w:p w:rsidR="00BB4F72" w:rsidRDefault="00BB4F72" w:rsidP="00293CED">
            <w:pPr>
              <w:keepLines/>
              <w:tabs>
                <w:tab w:val="left" w:pos="207"/>
              </w:tabs>
              <w:spacing w:after="0" w:line="218" w:lineRule="atLeast"/>
              <w:ind w:left="23"/>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hours of service to youth</w:t>
            </w:r>
          </w:p>
          <w:p w:rsidR="00BB4F72" w:rsidRDefault="00BB4F72" w:rsidP="00293CED">
            <w:pPr>
              <w:keepLines/>
              <w:tabs>
                <w:tab w:val="left" w:pos="207"/>
              </w:tabs>
              <w:spacing w:after="0" w:line="218" w:lineRule="atLeast"/>
              <w:ind w:left="23"/>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youth</w:t>
            </w:r>
          </w:p>
          <w:p w:rsidR="00BB4F72" w:rsidRDefault="00BB4F72" w:rsidP="00293CED">
            <w:pPr>
              <w:keepLines/>
              <w:tabs>
                <w:tab w:val="left" w:pos="207"/>
              </w:tabs>
              <w:spacing w:after="0" w:line="218" w:lineRule="atLeast"/>
              <w:ind w:left="23"/>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Number of hours per youth (a/b)</w:t>
            </w:r>
          </w:p>
          <w:p w:rsidR="00BB4F72" w:rsidRDefault="00BB4F72" w:rsidP="00293CED">
            <w:pPr>
              <w:keepLines/>
              <w:spacing w:after="0" w:line="218" w:lineRule="atLeast"/>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Cost savings</w:t>
            </w:r>
            <w:r>
              <w:rPr>
                <w:rFonts w:ascii="Arial Narrow" w:hAnsi="Arial Narrow" w:cs="Tahoma"/>
                <w:color w:val="000000"/>
                <w:sz w:val="18"/>
                <w:szCs w:val="17"/>
              </w:rPr>
              <w:t xml:space="preserve"> (short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the efficiency of the graduated sanctions program based on the assumption that graduated sanctions reduce the penetration of youth further into the justice system and, therefore, cost less per youth. Most appropriate for a unit of local government or tribal equivalent, justice system, or large agency implementing a graduated sanctions program. Report the average total cost per comparable case (e.g., similar justice history and intake offense) to the grantee at the start of the reporting period subtracted by the average cost per case at the end of the reporting period. If several disparate programs are included under the grant, please report the figure per program (e.g., if the grant covers services offered through a pre-trial unit and a detention, facility, please report cost savings per program). For example, if it used to cost $1,000 to process a case through the pre-trial unit at the start of the reporting period, but only costs $800 dollars at the end, the cost savings would be $200 per case. </w:t>
            </w:r>
          </w:p>
        </w:tc>
        <w:tc>
          <w:tcPr>
            <w:tcW w:w="2700" w:type="dxa"/>
            <w:tcBorders>
              <w:top w:val="single" w:sz="6" w:space="0" w:color="000000"/>
              <w:bottom w:val="single" w:sz="6" w:space="0" w:color="000000"/>
              <w:right w:val="single" w:sz="6" w:space="0" w:color="000000"/>
            </w:tcBorders>
          </w:tcPr>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Total cost per case not using graduated sanctions</w:t>
            </w:r>
          </w:p>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Total cost per graduated sanctions case</w:t>
            </w:r>
          </w:p>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Cost savings (a-b)</w:t>
            </w:r>
          </w:p>
          <w:p w:rsidR="00BB4F72" w:rsidRDefault="00BB4F72" w:rsidP="00293CED">
            <w:pPr>
              <w:keepLines/>
              <w:spacing w:after="0" w:line="218" w:lineRule="atLeast"/>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cases that result in alternatives to detention</w:t>
            </w:r>
            <w:r>
              <w:rPr>
                <w:rFonts w:ascii="Arial Narrow" w:hAnsi="Arial Narrow" w:cs="Tahoma"/>
                <w:color w:val="000000"/>
                <w:sz w:val="18"/>
                <w:szCs w:val="17"/>
              </w:rPr>
              <w:t xml:space="preserve"> (short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the program is working as intended by actually reducing the number of cases that result in detention. Most appropriate for a court or other program in which staff have the capacity to assign youth to detention. Report the raw number of program youth who were assigned to an alternative to detention that without the program would have been assigned to detention. Percent is the raw number divided by the raw number plus the number of youth assigned to detention. </w:t>
            </w:r>
          </w:p>
        </w:tc>
        <w:tc>
          <w:tcPr>
            <w:tcW w:w="2700" w:type="dxa"/>
            <w:tcBorders>
              <w:top w:val="single" w:sz="6" w:space="0" w:color="000000"/>
              <w:bottom w:val="single" w:sz="6" w:space="0" w:color="000000"/>
              <w:right w:val="single" w:sz="6" w:space="0" w:color="000000"/>
            </w:tcBorders>
          </w:tcPr>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youth who without the program would have been assigned to detention</w:t>
            </w:r>
          </w:p>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youth assigned to detention</w:t>
            </w:r>
          </w:p>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(a/(a + b))</w:t>
            </w:r>
          </w:p>
          <w:p w:rsidR="00BB4F72" w:rsidRDefault="00BB4F72" w:rsidP="00293CED">
            <w:pPr>
              <w:keepLines/>
              <w:spacing w:after="0" w:line="218" w:lineRule="atLeast"/>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cases that result in community service, monetary restitution, and direct service to victims</w:t>
            </w:r>
            <w:r>
              <w:rPr>
                <w:rFonts w:ascii="Arial Narrow" w:hAnsi="Arial Narrow" w:cs="Tahoma"/>
                <w:color w:val="000000"/>
                <w:sz w:val="18"/>
                <w:szCs w:val="17"/>
              </w:rPr>
              <w:t xml:space="preserve"> (short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whether the graduated sanctions program is being implemented as intended with regard to holding youth accountable using restorative justice approaches. Report the raw number of cases handled through the graduated sanctions program that resulted in one of the listed categories. Percent would be the raw number per type divided by the number of cases handled by the grantee. </w:t>
            </w:r>
          </w:p>
        </w:tc>
        <w:tc>
          <w:tcPr>
            <w:tcW w:w="2700" w:type="dxa"/>
            <w:tcBorders>
              <w:top w:val="single" w:sz="6" w:space="0" w:color="000000"/>
              <w:bottom w:val="single" w:sz="6" w:space="0" w:color="000000"/>
              <w:right w:val="single" w:sz="6" w:space="0" w:color="000000"/>
            </w:tcBorders>
          </w:tcPr>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cases to result in community service</w:t>
            </w:r>
          </w:p>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cases to result in monetary restitution</w:t>
            </w:r>
          </w:p>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Number of cases to result in direct service to victims</w:t>
            </w:r>
          </w:p>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D.</w:t>
            </w:r>
            <w:r w:rsidRPr="001A1B8D">
              <w:rPr>
                <w:rFonts w:ascii="Arial Narrow" w:hAnsi="Arial Narrow" w:cs="Tahoma"/>
                <w:color w:val="000000"/>
                <w:sz w:val="18"/>
                <w:szCs w:val="17"/>
              </w:rPr>
              <w:tab/>
              <w:t>Number of cases handled by the grantee</w:t>
            </w:r>
          </w:p>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E.</w:t>
            </w:r>
            <w:r w:rsidRPr="001A1B8D">
              <w:rPr>
                <w:rFonts w:ascii="Arial Narrow" w:hAnsi="Arial Narrow" w:cs="Tahoma"/>
                <w:color w:val="000000"/>
                <w:sz w:val="18"/>
                <w:szCs w:val="17"/>
              </w:rPr>
              <w:tab/>
              <w:t>Percent of cases resulted in community service (a/d)</w:t>
            </w:r>
          </w:p>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F.</w:t>
            </w:r>
            <w:r w:rsidRPr="001A1B8D">
              <w:rPr>
                <w:rFonts w:ascii="Arial Narrow" w:hAnsi="Arial Narrow" w:cs="Tahoma"/>
                <w:color w:val="000000"/>
                <w:sz w:val="18"/>
                <w:szCs w:val="17"/>
              </w:rPr>
              <w:tab/>
              <w:t>Percent of cases resulted in monetary restitution (b/d)</w:t>
            </w:r>
          </w:p>
          <w:p w:rsidR="00BB4F72" w:rsidRDefault="00BB4F72" w:rsidP="004C2A03">
            <w:pPr>
              <w:keepLines/>
              <w:spacing w:after="0" w:line="218" w:lineRule="atLeast"/>
              <w:ind w:left="285" w:hanging="262"/>
              <w:rPr>
                <w:rFonts w:ascii="Arial Narrow" w:hAnsi="Arial Narrow" w:cs="Tahoma"/>
                <w:color w:val="000000"/>
                <w:sz w:val="18"/>
                <w:szCs w:val="17"/>
              </w:rPr>
            </w:pPr>
            <w:r w:rsidRPr="001A1B8D">
              <w:rPr>
                <w:rFonts w:ascii="Arial Narrow" w:hAnsi="Arial Narrow" w:cs="Tahoma"/>
                <w:color w:val="000000"/>
                <w:sz w:val="18"/>
                <w:szCs w:val="17"/>
              </w:rPr>
              <w:t>G.</w:t>
            </w:r>
            <w:r w:rsidRPr="001A1B8D">
              <w:rPr>
                <w:rFonts w:ascii="Arial Narrow" w:hAnsi="Arial Narrow" w:cs="Tahoma"/>
                <w:color w:val="000000"/>
                <w:sz w:val="18"/>
                <w:szCs w:val="17"/>
              </w:rPr>
              <w:tab/>
              <w:t>Percent of cases resulted in direct service to victims (c/d)</w:t>
            </w: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sanction changes that were from a less restrictive to a more restrictive sanction</w:t>
            </w:r>
            <w:r>
              <w:rPr>
                <w:rFonts w:ascii="Arial Narrow" w:hAnsi="Arial Narrow" w:cs="Tahoma"/>
                <w:color w:val="000000"/>
                <w:sz w:val="18"/>
                <w:szCs w:val="17"/>
              </w:rPr>
              <w:t xml:space="preserve"> (short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sanctions are being applied appropriately based on the understanding that a well-run system will have a balance between increasing and reducing sanctions. Report the raw number of times sanction levels were changed to become more restrictive, and Percent would be the raw number divided by the total number of sanction-level changes during the reporting period. </w:t>
            </w:r>
          </w:p>
        </w:tc>
        <w:tc>
          <w:tcPr>
            <w:tcW w:w="2700" w:type="dxa"/>
            <w:tcBorders>
              <w:top w:val="single" w:sz="6" w:space="0" w:color="000000"/>
              <w:bottom w:val="single" w:sz="6" w:space="0" w:color="000000"/>
              <w:right w:val="single" w:sz="6" w:space="0" w:color="000000"/>
            </w:tcBorders>
          </w:tcPr>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sanction-level changes to more restrictive</w:t>
            </w:r>
          </w:p>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sanction-level changes</w:t>
            </w:r>
          </w:p>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4C2A03">
            <w:pPr>
              <w:keepLines/>
              <w:spacing w:after="0" w:line="218" w:lineRule="atLeast"/>
              <w:ind w:hanging="262"/>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Time in hours from infraction to sanction</w:t>
            </w:r>
            <w:r>
              <w:rPr>
                <w:rFonts w:ascii="Arial Narrow" w:hAnsi="Arial Narrow" w:cs="Tahoma"/>
                <w:color w:val="000000"/>
                <w:sz w:val="18"/>
                <w:szCs w:val="17"/>
              </w:rPr>
              <w:t xml:space="preserve"> (intermediate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the program is becoming more efficient. It is based on the idea that graduated sanctions must be applied swiftly. Appropriate for any program implementing a graduated sanctions program. Applies to youths' infractions while in the graduated sanctions program funded with JABG/Tribal JADG funds. Report the cumulative number of hours from infractions by youth according to their behavioral contracts to the infraction being addressed with a sanction divided by the number of infractions. If there are infractions that have not resulted in sanctions, count the number of hours from the infraction until the end of the youth’s participation in the program. </w:t>
            </w:r>
          </w:p>
        </w:tc>
        <w:tc>
          <w:tcPr>
            <w:tcW w:w="2700" w:type="dxa"/>
            <w:tcBorders>
              <w:top w:val="single" w:sz="6" w:space="0" w:color="000000"/>
              <w:bottom w:val="single" w:sz="6" w:space="0" w:color="000000"/>
              <w:right w:val="single" w:sz="6" w:space="0" w:color="000000"/>
            </w:tcBorders>
          </w:tcPr>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Cumulative hours from infractions to sanctions</w:t>
            </w:r>
          </w:p>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infractions</w:t>
            </w:r>
          </w:p>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Average (a/b)</w:t>
            </w:r>
          </w:p>
          <w:p w:rsidR="00BB4F72" w:rsidRDefault="00BB4F72" w:rsidP="004C2A03">
            <w:pPr>
              <w:keepLines/>
              <w:spacing w:after="0" w:line="218" w:lineRule="atLeast"/>
              <w:ind w:hanging="262"/>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youth who were monitored according to the terms in their behavioral contracts</w:t>
            </w:r>
            <w:r>
              <w:rPr>
                <w:rFonts w:ascii="Arial Narrow" w:hAnsi="Arial Narrow" w:cs="Tahoma"/>
                <w:color w:val="000000"/>
                <w:sz w:val="18"/>
                <w:szCs w:val="17"/>
              </w:rPr>
              <w:t xml:space="preserve"> (intermediate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the program is becoming more accountable as shown by staff upholding their part of the behavioral contract (i.e., not acting capriciously). Appropriate for any program implementing a graduated sanction program. Report the raw number of youth for whom program staff followed the guidelines of that youth’s behavioral contract (e.g., made contact as required, responded to infractions as described in the contract, etc.). Percent would be the raw number divided by the total number of youth in the program. </w:t>
            </w:r>
          </w:p>
        </w:tc>
        <w:tc>
          <w:tcPr>
            <w:tcW w:w="2700" w:type="dxa"/>
            <w:tcBorders>
              <w:top w:val="single" w:sz="6" w:space="0" w:color="000000"/>
              <w:bottom w:val="single" w:sz="6" w:space="0" w:color="000000"/>
              <w:right w:val="single" w:sz="6" w:space="0" w:color="000000"/>
            </w:tcBorders>
          </w:tcPr>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youth for whom staff followed the guidelines of the youth's behavioral contract</w:t>
            </w:r>
          </w:p>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youth served</w:t>
            </w:r>
          </w:p>
          <w:p w:rsidR="00BB4F72" w:rsidRDefault="00BB4F72" w:rsidP="004C2A03">
            <w:pPr>
              <w:keepLines/>
              <w:spacing w:after="0" w:line="218" w:lineRule="atLeast"/>
              <w:ind w:left="195" w:hanging="26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4C2A03">
            <w:pPr>
              <w:keepLines/>
              <w:spacing w:after="0" w:line="218" w:lineRule="atLeast"/>
              <w:ind w:hanging="262"/>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r w:rsidR="00BB4F72" w:rsidRPr="001A1B8D" w:rsidTr="004C2A03">
        <w:trPr>
          <w:cantSplit/>
        </w:trPr>
        <w:tc>
          <w:tcPr>
            <w:tcW w:w="355" w:type="dxa"/>
            <w:tcBorders>
              <w:top w:val="single" w:sz="6" w:space="0" w:color="000000"/>
              <w:left w:val="single" w:sz="6" w:space="0" w:color="000000"/>
              <w:bottom w:val="single" w:sz="6" w:space="0" w:color="000000"/>
            </w:tcBorders>
          </w:tcPr>
          <w:p w:rsidR="00BB4F72" w:rsidRPr="00B13678" w:rsidRDefault="00BB4F72" w:rsidP="007123EE">
            <w:pPr>
              <w:pStyle w:val="ListParagraph"/>
              <w:keepLines/>
              <w:numPr>
                <w:ilvl w:val="0"/>
                <w:numId w:val="10"/>
              </w:numPr>
              <w:spacing w:after="0" w:line="218" w:lineRule="atLeast"/>
              <w:rPr>
                <w:rFonts w:ascii="Arial Narrow" w:hAnsi="Arial Narrow" w:cs="Tahoma"/>
                <w:color w:val="000000"/>
                <w:sz w:val="18"/>
                <w:szCs w:val="17"/>
              </w:rPr>
            </w:pPr>
          </w:p>
        </w:tc>
        <w:tc>
          <w:tcPr>
            <w:tcW w:w="2226" w:type="dxa"/>
            <w:tcBorders>
              <w:top w:val="single" w:sz="6" w:space="0" w:color="000000"/>
              <w:left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non-compliant events (e.g., missing appointments) and percent of all events that were non-compliant</w:t>
            </w:r>
            <w:r>
              <w:rPr>
                <w:rFonts w:ascii="Arial Narrow" w:hAnsi="Arial Narrow" w:cs="Tahoma"/>
                <w:color w:val="000000"/>
                <w:sz w:val="18"/>
                <w:szCs w:val="17"/>
              </w:rPr>
              <w:t xml:space="preserve"> (intermediate term)</w:t>
            </w:r>
          </w:p>
        </w:tc>
        <w:tc>
          <w:tcPr>
            <w:tcW w:w="4254"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youth are acting more accountably as indicated by their fulfillment of their program requirements. Report the raw number of times youth did not do things they specifically had agreed to do in their behavioral contracts (or did things they agreed not to do). Percent would be the raw number divided by the total number of things the youth were expected to do (or not to do). For example, if a youth was to attend school every day, each day missed would be a non-compliant event. Percent would be the number of school days missed divided by the total number of days school was in session during the reporting period. </w:t>
            </w:r>
          </w:p>
        </w:tc>
        <w:tc>
          <w:tcPr>
            <w:tcW w:w="2700" w:type="dxa"/>
            <w:tcBorders>
              <w:top w:val="single" w:sz="6" w:space="0" w:color="000000"/>
              <w:bottom w:val="single" w:sz="6" w:space="0" w:color="000000"/>
              <w:right w:val="single" w:sz="6" w:space="0" w:color="000000"/>
            </w:tcBorders>
          </w:tcPr>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A.</w:t>
            </w:r>
            <w:r w:rsidRPr="001A1B8D">
              <w:rPr>
                <w:rFonts w:ascii="Arial Narrow" w:hAnsi="Arial Narrow" w:cs="Tahoma"/>
                <w:color w:val="000000"/>
                <w:sz w:val="18"/>
                <w:szCs w:val="17"/>
              </w:rPr>
              <w:tab/>
              <w:t>Number of non-compliant events</w:t>
            </w:r>
          </w:p>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B.</w:t>
            </w:r>
            <w:r w:rsidRPr="001A1B8D">
              <w:rPr>
                <w:rFonts w:ascii="Arial Narrow" w:hAnsi="Arial Narrow" w:cs="Tahoma"/>
                <w:color w:val="000000"/>
                <w:sz w:val="18"/>
                <w:szCs w:val="17"/>
              </w:rPr>
              <w:tab/>
              <w:t>Number of youth requirements</w:t>
            </w:r>
          </w:p>
          <w:p w:rsidR="00BB4F72" w:rsidRDefault="00BB4F72" w:rsidP="00293CED">
            <w:pPr>
              <w:keepLines/>
              <w:tabs>
                <w:tab w:val="left" w:pos="207"/>
              </w:tabs>
              <w:spacing w:after="0" w:line="218" w:lineRule="atLeast"/>
              <w:ind w:left="195" w:hanging="172"/>
              <w:rPr>
                <w:rFonts w:ascii="Arial Narrow" w:hAnsi="Arial Narrow" w:cs="Tahoma"/>
                <w:color w:val="000000"/>
                <w:sz w:val="18"/>
                <w:szCs w:val="17"/>
              </w:rPr>
            </w:pPr>
            <w:r w:rsidRPr="001A1B8D">
              <w:rPr>
                <w:rFonts w:ascii="Arial Narrow" w:hAnsi="Arial Narrow" w:cs="Tahoma"/>
                <w:color w:val="000000"/>
                <w:sz w:val="18"/>
                <w:szCs w:val="17"/>
              </w:rPr>
              <w:t>C.</w:t>
            </w:r>
            <w:r w:rsidRPr="001A1B8D">
              <w:rPr>
                <w:rFonts w:ascii="Arial Narrow" w:hAnsi="Arial Narrow" w:cs="Tahoma"/>
                <w:color w:val="000000"/>
                <w:sz w:val="18"/>
                <w:szCs w:val="17"/>
              </w:rPr>
              <w:tab/>
              <w:t>Percent (a/b)</w:t>
            </w:r>
          </w:p>
          <w:p w:rsidR="00BB4F72" w:rsidRDefault="00BB4F72" w:rsidP="00293CED">
            <w:pPr>
              <w:keepLines/>
              <w:spacing w:after="0" w:line="218" w:lineRule="atLeast"/>
              <w:rPr>
                <w:rFonts w:ascii="Arial Narrow" w:hAnsi="Arial Narrow" w:cs="Tahoma"/>
                <w:color w:val="000000"/>
                <w:sz w:val="18"/>
                <w:szCs w:val="17"/>
              </w:rPr>
            </w:pPr>
          </w:p>
        </w:tc>
        <w:tc>
          <w:tcPr>
            <w:tcW w:w="1440" w:type="dxa"/>
            <w:tcBorders>
              <w:top w:val="single" w:sz="6" w:space="0" w:color="000000"/>
              <w:bottom w:val="single" w:sz="6" w:space="0" w:color="000000"/>
              <w:right w:val="single" w:sz="6" w:space="0" w:color="000000"/>
            </w:tcBorders>
          </w:tcPr>
          <w:p w:rsidR="00BB4F72" w:rsidRDefault="00BB4F72" w:rsidP="00293CED">
            <w:pPr>
              <w:keepLines/>
              <w:spacing w:after="0" w:line="218" w:lineRule="atLeast"/>
              <w:rPr>
                <w:rFonts w:ascii="Arial Narrow" w:hAnsi="Arial Narrow" w:cs="Tahoma"/>
                <w:color w:val="000000"/>
                <w:sz w:val="18"/>
                <w:szCs w:val="17"/>
              </w:rPr>
            </w:pPr>
          </w:p>
        </w:tc>
      </w:tr>
    </w:tbl>
    <w:p w:rsidR="00BB4F72" w:rsidRPr="00BB4F72" w:rsidRDefault="00BB4F72" w:rsidP="00BB4F72">
      <w:pPr>
        <w:tabs>
          <w:tab w:val="left" w:pos="4683"/>
        </w:tabs>
      </w:pPr>
    </w:p>
    <w:sectPr w:rsidR="00BB4F72" w:rsidRPr="00BB4F72" w:rsidSect="00BB4F7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3CA" w:rsidRDefault="000803CA" w:rsidP="00BB4F72">
      <w:pPr>
        <w:spacing w:after="0" w:line="240" w:lineRule="auto"/>
      </w:pPr>
      <w:r>
        <w:separator/>
      </w:r>
    </w:p>
  </w:endnote>
  <w:endnote w:type="continuationSeparator" w:id="0">
    <w:p w:rsidR="000803CA" w:rsidRDefault="000803CA" w:rsidP="00BB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159355"/>
      <w:docPartObj>
        <w:docPartGallery w:val="Page Numbers (Bottom of Page)"/>
        <w:docPartUnique/>
      </w:docPartObj>
    </w:sdtPr>
    <w:sdtEndPr>
      <w:rPr>
        <w:noProof/>
      </w:rPr>
    </w:sdtEndPr>
    <w:sdtContent>
      <w:p w:rsidR="00B13678" w:rsidRDefault="00B13678" w:rsidP="004C2A03">
        <w:pPr>
          <w:pStyle w:val="Footer"/>
          <w:jc w:val="right"/>
        </w:pPr>
        <w:r>
          <w:fldChar w:fldCharType="begin"/>
        </w:r>
        <w:r>
          <w:instrText xml:space="preserve"> PAGE   \* MERGEFORMAT </w:instrText>
        </w:r>
        <w:r>
          <w:fldChar w:fldCharType="separate"/>
        </w:r>
        <w:r w:rsidR="004C2A0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3CA" w:rsidRDefault="000803CA" w:rsidP="00BB4F72">
      <w:pPr>
        <w:spacing w:after="0" w:line="240" w:lineRule="auto"/>
      </w:pPr>
      <w:r>
        <w:separator/>
      </w:r>
    </w:p>
  </w:footnote>
  <w:footnote w:type="continuationSeparator" w:id="0">
    <w:p w:rsidR="000803CA" w:rsidRDefault="000803CA" w:rsidP="00BB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72" w:rsidRPr="008776B6" w:rsidRDefault="00BB4F72" w:rsidP="00BB4F72">
    <w:pPr>
      <w:pStyle w:val="Heading1"/>
      <w:spacing w:before="0" w:after="0"/>
      <w:contextualSpacing/>
      <w:mirrorIndents/>
      <w:rPr>
        <w:color w:val="auto"/>
      </w:rPr>
    </w:pPr>
    <w:r w:rsidRPr="008776B6">
      <w:rPr>
        <w:color w:val="auto"/>
      </w:rPr>
      <w:t>Office of Juvenile Justice and Delinquency Prevention</w:t>
    </w:r>
  </w:p>
  <w:p w:rsidR="00BB4F72" w:rsidRDefault="00BB4F72" w:rsidP="00BB4F72">
    <w:pPr>
      <w:pStyle w:val="Heading1"/>
      <w:spacing w:before="0" w:after="0"/>
      <w:contextualSpacing/>
      <w:mirrorIndents/>
      <w:rPr>
        <w:rStyle w:val="instructions1"/>
        <w:rFonts w:cs="Arial"/>
        <w:bCs/>
      </w:rPr>
    </w:pPr>
    <w:r w:rsidRPr="00195C88">
      <w:rPr>
        <w:rStyle w:val="instructions1"/>
        <w:rFonts w:cs="Arial"/>
        <w:bCs/>
      </w:rPr>
      <w:t xml:space="preserve">Tribal Juvenile Accountability Discretionary Grant Program </w:t>
    </w:r>
  </w:p>
  <w:p w:rsidR="00BB4F72" w:rsidRDefault="00BB4F72" w:rsidP="00BB4F72">
    <w:pPr>
      <w:pStyle w:val="Heading1"/>
      <w:spacing w:before="0" w:after="0"/>
      <w:contextualSpacing/>
      <w:mirrorIndents/>
      <w:rPr>
        <w:rStyle w:val="instructions1"/>
        <w:rFonts w:cs="Arial"/>
        <w:bCs/>
      </w:rPr>
    </w:pPr>
    <w:r w:rsidRPr="00195C88">
      <w:rPr>
        <w:rStyle w:val="instructions1"/>
        <w:rFonts w:cs="Arial"/>
        <w:bCs/>
      </w:rPr>
      <w:t>(T-JADG)</w:t>
    </w:r>
  </w:p>
  <w:p w:rsidR="00BB4F72" w:rsidRPr="00BB4F72" w:rsidRDefault="00BB4F72" w:rsidP="00BB4F72">
    <w:pPr>
      <w:pStyle w:val="BodyText"/>
      <w:spacing w:after="0" w:line="240" w:lineRule="auto"/>
      <w:contextualSpacing/>
      <w:mirrorIndents/>
    </w:pPr>
  </w:p>
  <w:p w:rsidR="00BB4F72" w:rsidRPr="00BB4F72" w:rsidRDefault="00BB4F72" w:rsidP="00BB4F72">
    <w:pPr>
      <w:pStyle w:val="Heading1"/>
      <w:spacing w:before="0" w:after="0"/>
      <w:contextualSpacing/>
      <w:mirrorIndents/>
      <w:rPr>
        <w:color w:val="auto"/>
      </w:rPr>
    </w:pPr>
    <w:r>
      <w:rPr>
        <w:color w:val="auto"/>
      </w:rPr>
      <w:t>Graduated Sanctions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2EB5"/>
    <w:multiLevelType w:val="hybridMultilevel"/>
    <w:tmpl w:val="87EAAB56"/>
    <w:lvl w:ilvl="0" w:tplc="2F1EE3E6">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10D85BF1"/>
    <w:multiLevelType w:val="hybridMultilevel"/>
    <w:tmpl w:val="C7EE8C0A"/>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811F31"/>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16BEE"/>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60E22"/>
    <w:multiLevelType w:val="hybridMultilevel"/>
    <w:tmpl w:val="6F9043C0"/>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D638A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C6F7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594D3B26"/>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664A602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F17E0"/>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711455DC"/>
    <w:multiLevelType w:val="hybridMultilevel"/>
    <w:tmpl w:val="9B3E25D6"/>
    <w:lvl w:ilvl="0" w:tplc="33687C1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6"/>
  </w:num>
  <w:num w:numId="2">
    <w:abstractNumId w:val="7"/>
  </w:num>
  <w:num w:numId="3">
    <w:abstractNumId w:val="9"/>
  </w:num>
  <w:num w:numId="4">
    <w:abstractNumId w:val="10"/>
  </w:num>
  <w:num w:numId="5">
    <w:abstractNumId w:val="0"/>
  </w:num>
  <w:num w:numId="6">
    <w:abstractNumId w:val="8"/>
  </w:num>
  <w:num w:numId="7">
    <w:abstractNumId w:val="3"/>
  </w:num>
  <w:num w:numId="8">
    <w:abstractNumId w:val="2"/>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72"/>
    <w:rsid w:val="000803CA"/>
    <w:rsid w:val="004C2A03"/>
    <w:rsid w:val="007123EE"/>
    <w:rsid w:val="007F62EE"/>
    <w:rsid w:val="009655A1"/>
    <w:rsid w:val="00B13678"/>
    <w:rsid w:val="00BB4F72"/>
    <w:rsid w:val="00D4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85C057-0C00-4E36-A211-5ED84AD4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F72"/>
  </w:style>
  <w:style w:type="paragraph" w:styleId="Heading1">
    <w:name w:val="heading 1"/>
    <w:basedOn w:val="Normal"/>
    <w:next w:val="BodyText"/>
    <w:link w:val="Heading1Char"/>
    <w:qFormat/>
    <w:rsid w:val="00BB4F72"/>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F72"/>
  </w:style>
  <w:style w:type="paragraph" w:styleId="Footer">
    <w:name w:val="footer"/>
    <w:basedOn w:val="Normal"/>
    <w:link w:val="FooterChar"/>
    <w:uiPriority w:val="99"/>
    <w:unhideWhenUsed/>
    <w:rsid w:val="00BB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72"/>
  </w:style>
  <w:style w:type="character" w:customStyle="1" w:styleId="Heading1Char">
    <w:name w:val="Heading 1 Char"/>
    <w:basedOn w:val="DefaultParagraphFont"/>
    <w:link w:val="Heading1"/>
    <w:rsid w:val="00BB4F72"/>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BB4F72"/>
  </w:style>
  <w:style w:type="paragraph" w:styleId="BodyText">
    <w:name w:val="Body Text"/>
    <w:basedOn w:val="Normal"/>
    <w:link w:val="BodyTextChar"/>
    <w:uiPriority w:val="99"/>
    <w:semiHidden/>
    <w:unhideWhenUsed/>
    <w:rsid w:val="00BB4F72"/>
    <w:pPr>
      <w:spacing w:after="120"/>
    </w:pPr>
  </w:style>
  <w:style w:type="character" w:customStyle="1" w:styleId="BodyTextChar">
    <w:name w:val="Body Text Char"/>
    <w:basedOn w:val="DefaultParagraphFont"/>
    <w:link w:val="BodyText"/>
    <w:uiPriority w:val="99"/>
    <w:semiHidden/>
    <w:rsid w:val="00BB4F72"/>
  </w:style>
  <w:style w:type="character" w:styleId="Strong">
    <w:name w:val="Strong"/>
    <w:qFormat/>
    <w:rsid w:val="00BB4F72"/>
    <w:rPr>
      <w:b/>
      <w:bCs/>
    </w:rPr>
  </w:style>
  <w:style w:type="paragraph" w:styleId="ListParagraph">
    <w:name w:val="List Paragraph"/>
    <w:basedOn w:val="Normal"/>
    <w:uiPriority w:val="34"/>
    <w:qFormat/>
    <w:rsid w:val="00BB4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2021-08-11T20:38:00Z</dcterms:created>
  <dcterms:modified xsi:type="dcterms:W3CDTF">2021-08-11T20:38:00Z</dcterms:modified>
</cp:coreProperties>
</file>