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75" w:type="dxa"/>
          <w:left w:w="75" w:type="dxa"/>
          <w:bottom w:w="75" w:type="dxa"/>
          <w:right w:w="75" w:type="dxa"/>
        </w:tblCellMar>
        <w:tblLook w:val="0000" w:firstRow="0" w:lastRow="0" w:firstColumn="0" w:lastColumn="0" w:noHBand="0" w:noVBand="0"/>
      </w:tblPr>
      <w:tblGrid>
        <w:gridCol w:w="242"/>
        <w:gridCol w:w="2281"/>
        <w:gridCol w:w="4242"/>
        <w:gridCol w:w="2760"/>
        <w:gridCol w:w="1425"/>
      </w:tblGrid>
      <w:tr w:rsidR="007C7568" w:rsidRPr="00636FE4" w:rsidTr="003E1F58">
        <w:trPr>
          <w:cantSplit/>
          <w:tblHeader/>
        </w:trPr>
        <w:tc>
          <w:tcPr>
            <w:tcW w:w="0" w:type="auto"/>
            <w:tcBorders>
              <w:left w:val="single" w:sz="4" w:space="0" w:color="auto"/>
              <w:bottom w:val="single" w:sz="6" w:space="0" w:color="000000"/>
              <w:right w:val="single" w:sz="6" w:space="0" w:color="FFFFFF"/>
            </w:tcBorders>
            <w:shd w:val="clear" w:color="auto" w:fill="003366"/>
            <w:vAlign w:val="center"/>
          </w:tcPr>
          <w:p w:rsidR="007C7568" w:rsidRDefault="007C7568" w:rsidP="00293CED">
            <w:pPr>
              <w:keepLines/>
              <w:spacing w:after="0" w:line="240" w:lineRule="auto"/>
              <w:rPr>
                <w:rFonts w:ascii="Arial Narrow Bold" w:hAnsi="Arial Narrow Bold" w:cs="Tahoma"/>
                <w:b/>
                <w:color w:val="FFFFFF"/>
                <w:sz w:val="20"/>
                <w:szCs w:val="17"/>
              </w:rPr>
            </w:pPr>
            <w:bookmarkStart w:id="0" w:name="_GoBack"/>
            <w:bookmarkEnd w:id="0"/>
            <w:r w:rsidRPr="00636FE4">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7C7568" w:rsidRDefault="007C7568" w:rsidP="00293CED">
            <w:pPr>
              <w:keepLines/>
              <w:spacing w:after="0" w:line="240" w:lineRule="auto"/>
              <w:rPr>
                <w:rFonts w:ascii="Arial Narrow Bold" w:hAnsi="Arial Narrow Bold" w:cs="Tahoma"/>
                <w:b/>
                <w:color w:val="FFFFFF"/>
                <w:sz w:val="20"/>
                <w:szCs w:val="17"/>
              </w:rPr>
            </w:pPr>
            <w:r w:rsidRPr="00636FE4">
              <w:rPr>
                <w:rStyle w:val="Strong"/>
                <w:rFonts w:ascii="Arial Narrow Bold" w:hAnsi="Arial Narrow Bold" w:cs="Tahoma"/>
                <w:color w:val="FFFFFF"/>
                <w:sz w:val="20"/>
                <w:szCs w:val="17"/>
              </w:rPr>
              <w:t>Output Measure</w:t>
            </w:r>
          </w:p>
        </w:tc>
        <w:tc>
          <w:tcPr>
            <w:tcW w:w="4242" w:type="dxa"/>
            <w:tcBorders>
              <w:left w:val="single" w:sz="6" w:space="0" w:color="FFFFFF"/>
              <w:bottom w:val="single" w:sz="6" w:space="0" w:color="000000"/>
              <w:right w:val="single" w:sz="6" w:space="0" w:color="FFFFFF"/>
            </w:tcBorders>
            <w:shd w:val="clear" w:color="auto" w:fill="003366"/>
            <w:vAlign w:val="center"/>
          </w:tcPr>
          <w:p w:rsidR="007C7568" w:rsidRDefault="007C7568" w:rsidP="00293CED">
            <w:pPr>
              <w:keepLines/>
              <w:spacing w:after="0" w:line="240" w:lineRule="auto"/>
              <w:rPr>
                <w:rFonts w:ascii="Arial Narrow Bold" w:hAnsi="Arial Narrow Bold" w:cs="Tahoma"/>
                <w:b/>
                <w:color w:val="FFFFFF"/>
                <w:sz w:val="20"/>
                <w:szCs w:val="17"/>
              </w:rPr>
            </w:pPr>
            <w:r w:rsidRPr="00636FE4">
              <w:rPr>
                <w:rStyle w:val="Strong"/>
                <w:rFonts w:ascii="Arial Narrow Bold" w:hAnsi="Arial Narrow Bold" w:cs="Tahoma"/>
                <w:color w:val="FFFFFF"/>
                <w:sz w:val="20"/>
                <w:szCs w:val="17"/>
              </w:rPr>
              <w:t>Definition</w:t>
            </w:r>
          </w:p>
        </w:tc>
        <w:tc>
          <w:tcPr>
            <w:tcW w:w="2760" w:type="dxa"/>
            <w:tcBorders>
              <w:left w:val="single" w:sz="6" w:space="0" w:color="FFFFFF"/>
              <w:bottom w:val="single" w:sz="6" w:space="0" w:color="000000"/>
              <w:right w:val="single" w:sz="6" w:space="0" w:color="FFFFFF"/>
            </w:tcBorders>
            <w:shd w:val="clear" w:color="auto" w:fill="003366"/>
            <w:noWrap/>
            <w:vAlign w:val="center"/>
          </w:tcPr>
          <w:p w:rsidR="007C7568" w:rsidRDefault="007C7568" w:rsidP="00293CED">
            <w:pPr>
              <w:keepLines/>
              <w:spacing w:after="0" w:line="240" w:lineRule="auto"/>
              <w:rPr>
                <w:rFonts w:ascii="Arial Narrow Bold" w:hAnsi="Arial Narrow Bold" w:cs="Tahoma"/>
                <w:b/>
                <w:color w:val="FFFFFF"/>
                <w:sz w:val="18"/>
                <w:szCs w:val="18"/>
              </w:rPr>
            </w:pPr>
            <w:r w:rsidRPr="00636FE4">
              <w:rPr>
                <w:rStyle w:val="Strong"/>
                <w:rFonts w:ascii="Arial Narrow Bold" w:hAnsi="Arial Narrow Bold" w:cs="Tahoma"/>
                <w:color w:val="FFFFFF"/>
                <w:sz w:val="18"/>
                <w:szCs w:val="18"/>
              </w:rPr>
              <w:t>Data Grantee Provides</w:t>
            </w:r>
          </w:p>
        </w:tc>
        <w:tc>
          <w:tcPr>
            <w:tcW w:w="1425" w:type="dxa"/>
            <w:tcBorders>
              <w:left w:val="single" w:sz="6" w:space="0" w:color="FFFFFF"/>
              <w:bottom w:val="single" w:sz="6" w:space="0" w:color="000000"/>
            </w:tcBorders>
            <w:shd w:val="clear" w:color="auto" w:fill="003366"/>
          </w:tcPr>
          <w:p w:rsidR="007C7568" w:rsidRDefault="007C7568" w:rsidP="00293CED">
            <w:pPr>
              <w:keepLines/>
              <w:spacing w:after="0" w:line="240" w:lineRule="auto"/>
              <w:rPr>
                <w:rStyle w:val="Strong"/>
                <w:rFonts w:ascii="Arial Narrow Bold" w:hAnsi="Arial Narrow Bold" w:cs="Tahoma"/>
                <w:color w:val="FFFFFF"/>
                <w:sz w:val="18"/>
                <w:szCs w:val="18"/>
              </w:rPr>
            </w:pPr>
            <w:r w:rsidRPr="00636FE4">
              <w:rPr>
                <w:rStyle w:val="Strong"/>
                <w:rFonts w:ascii="Arial Narrow Bold" w:hAnsi="Arial Narrow Bold" w:cs="Tahoma"/>
                <w:color w:val="FFFFFF"/>
                <w:sz w:val="18"/>
                <w:szCs w:val="18"/>
              </w:rPr>
              <w:t>Record Data Here</w:t>
            </w: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Amount of JABG/Tribal JADG funds awarded for system improvement</w:t>
            </w:r>
          </w:p>
          <w:p w:rsidR="007C7568" w:rsidRDefault="007C7568" w:rsidP="00293CED">
            <w:pPr>
              <w:keepLines/>
              <w:spacing w:after="0" w:line="240" w:lineRule="auto"/>
              <w:rPr>
                <w:rFonts w:ascii="Arial Narrow" w:hAnsi="Arial Narrow" w:cs="Tahoma"/>
                <w:color w:val="000000"/>
                <w:sz w:val="18"/>
                <w:szCs w:val="17"/>
              </w:rPr>
            </w:pPr>
          </w:p>
          <w:p w:rsidR="007C7568" w:rsidRDefault="007C7568"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System Improvements Mandatory</w:t>
            </w:r>
          </w:p>
        </w:tc>
        <w:tc>
          <w:tcPr>
            <w:tcW w:w="4242" w:type="dxa"/>
            <w:tcBorders>
              <w:top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760" w:type="dxa"/>
            <w:tcBorders>
              <w:top w:val="single" w:sz="6" w:space="0" w:color="000000"/>
              <w:bottom w:val="single" w:sz="6" w:space="0" w:color="000000"/>
              <w:right w:val="single" w:sz="6" w:space="0" w:color="000000"/>
            </w:tcBorders>
          </w:tcPr>
          <w:p w:rsidR="007C7568" w:rsidRDefault="007C7568" w:rsidP="001B347A">
            <w:pPr>
              <w:keepLines/>
              <w:tabs>
                <w:tab w:val="left" w:pos="231"/>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Funds awarded to program for services</w:t>
            </w:r>
          </w:p>
          <w:p w:rsidR="007C7568" w:rsidRDefault="007C7568" w:rsidP="00293CED">
            <w:pPr>
              <w:keepLines/>
              <w:tabs>
                <w:tab w:val="left" w:pos="201"/>
              </w:tabs>
              <w:spacing w:after="0" w:line="240" w:lineRule="auto"/>
              <w:ind w:left="225" w:hanging="202"/>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staff trained on gun court procedures</w:t>
            </w:r>
          </w:p>
        </w:tc>
        <w:tc>
          <w:tcPr>
            <w:tcW w:w="4242" w:type="dxa"/>
            <w:tcBorders>
              <w:top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properly trained staff can provide better service. Appropriate for any grantee working with or administering a gun court. Report the raw number of staff to receive formal training on gun court related topics. Percent is the raw number divided by the total number of staff in the pool from which those trained were selected. For example, if 10 staff from a probation department were trained, the total pool would be the staff from the entire probation department. </w:t>
            </w:r>
          </w:p>
        </w:tc>
        <w:tc>
          <w:tcPr>
            <w:tcW w:w="2760" w:type="dxa"/>
            <w:tcBorders>
              <w:top w:val="single" w:sz="6" w:space="0" w:color="000000"/>
              <w:bottom w:val="single" w:sz="6" w:space="0" w:color="000000"/>
              <w:right w:val="single" w:sz="6" w:space="0" w:color="000000"/>
            </w:tcBorders>
          </w:tcPr>
          <w:p w:rsidR="007C7568" w:rsidRDefault="007C7568" w:rsidP="00293CED">
            <w:pPr>
              <w:keepLines/>
              <w:tabs>
                <w:tab w:val="left" w:pos="201"/>
              </w:tabs>
              <w:spacing w:after="0" w:line="240" w:lineRule="auto"/>
              <w:ind w:left="23"/>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staff trained</w:t>
            </w:r>
          </w:p>
          <w:p w:rsidR="007C7568" w:rsidRDefault="007C7568" w:rsidP="00293CED">
            <w:pPr>
              <w:keepLines/>
              <w:tabs>
                <w:tab w:val="left" w:pos="201"/>
              </w:tabs>
              <w:spacing w:after="0" w:line="240" w:lineRule="auto"/>
              <w:ind w:left="23"/>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staff</w:t>
            </w:r>
          </w:p>
          <w:p w:rsidR="007C7568" w:rsidRDefault="007C7568" w:rsidP="00293CED">
            <w:pPr>
              <w:keepLines/>
              <w:tabs>
                <w:tab w:val="left" w:pos="201"/>
              </w:tabs>
              <w:spacing w:after="0" w:line="240" w:lineRule="auto"/>
              <w:ind w:left="23"/>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7C7568" w:rsidRDefault="007C7568" w:rsidP="00293CED">
            <w:pPr>
              <w:keepLines/>
              <w:spacing w:after="0" w:line="240" w:lineRule="auto"/>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of hours of training on gun court procedures offered</w:t>
            </w:r>
          </w:p>
        </w:tc>
        <w:tc>
          <w:tcPr>
            <w:tcW w:w="4242" w:type="dxa"/>
            <w:tcBorders>
              <w:top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properly trained staff can provide better service. Appropriate for any grantee working with or administering a gun court.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 </w:t>
            </w:r>
          </w:p>
        </w:tc>
        <w:tc>
          <w:tcPr>
            <w:tcW w:w="2760" w:type="dxa"/>
            <w:tcBorders>
              <w:top w:val="single" w:sz="6" w:space="0" w:color="000000"/>
              <w:bottom w:val="single" w:sz="6" w:space="0" w:color="000000"/>
              <w:right w:val="single" w:sz="6" w:space="0" w:color="000000"/>
            </w:tcBorders>
          </w:tcPr>
          <w:p w:rsidR="007C7568" w:rsidRDefault="007C7568" w:rsidP="00293CED">
            <w:pPr>
              <w:keepLines/>
              <w:tabs>
                <w:tab w:val="left" w:pos="193"/>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hours of training offered</w:t>
            </w:r>
          </w:p>
          <w:p w:rsidR="007C7568" w:rsidRDefault="007C7568" w:rsidP="00293CED">
            <w:pPr>
              <w:keepLines/>
              <w:spacing w:after="0" w:line="240" w:lineRule="auto"/>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arrests for gun offenses in which a juvenile offender is assessed for participation in the gun court</w:t>
            </w:r>
          </w:p>
        </w:tc>
        <w:tc>
          <w:tcPr>
            <w:tcW w:w="4242" w:type="dxa"/>
            <w:tcBorders>
              <w:top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program operation level. Appropriate for any gun court program or larger jurisdiction that includes a gun court. Report the raw number of arrests for any type of gun-related offense that results in the juvenile offender being assessed for participation in the gun court. Include face-to-face assessments, review of records, or any other process used to determine appropriateness for gun court participation. The unit of measurement is the case, not the individual youth. Percent is the raw number divided by the total number of arrests of juveniles for gun-related offenses. </w:t>
            </w:r>
          </w:p>
        </w:tc>
        <w:tc>
          <w:tcPr>
            <w:tcW w:w="2760" w:type="dxa"/>
            <w:tcBorders>
              <w:top w:val="single" w:sz="6" w:space="0" w:color="000000"/>
              <w:bottom w:val="single" w:sz="6" w:space="0" w:color="000000"/>
              <w:right w:val="single" w:sz="6" w:space="0" w:color="000000"/>
            </w:tcBorders>
          </w:tcPr>
          <w:p w:rsidR="007C7568" w:rsidRDefault="007C7568" w:rsidP="00293CED">
            <w:pPr>
              <w:keepLines/>
              <w:tabs>
                <w:tab w:val="left" w:pos="201"/>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gun court assessments</w:t>
            </w:r>
          </w:p>
          <w:p w:rsidR="007C7568" w:rsidRDefault="007C7568" w:rsidP="001B347A">
            <w:pPr>
              <w:keepLine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gun-related arrests of juveniles</w:t>
            </w:r>
          </w:p>
          <w:p w:rsidR="007C7568" w:rsidRDefault="007C7568" w:rsidP="00293CED">
            <w:pPr>
              <w:keepLines/>
              <w:tabs>
                <w:tab w:val="left" w:pos="201"/>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7C7568" w:rsidRDefault="007C7568" w:rsidP="00293CED">
            <w:pPr>
              <w:keepLines/>
              <w:spacing w:after="0" w:line="240" w:lineRule="auto"/>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families of youth charged with gun offenses who are assessed</w:t>
            </w:r>
          </w:p>
        </w:tc>
        <w:tc>
          <w:tcPr>
            <w:tcW w:w="4242" w:type="dxa"/>
            <w:tcBorders>
              <w:top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program operation level. In part, based on the idea that family participation has an effect on youth outcomes. Appropriate for any gun court program or larger jurisdiction that includes a gun court. Report the raw number of families who have at least one member (other than the offender who is participating in the gun court) assessed through the gun court. Percent is the raw number divided by the number of youth involved in the gun court. </w:t>
            </w:r>
          </w:p>
        </w:tc>
        <w:tc>
          <w:tcPr>
            <w:tcW w:w="2760" w:type="dxa"/>
            <w:tcBorders>
              <w:top w:val="single" w:sz="6" w:space="0" w:color="000000"/>
              <w:bottom w:val="single" w:sz="6" w:space="0" w:color="000000"/>
              <w:right w:val="single" w:sz="6" w:space="0" w:color="000000"/>
            </w:tcBorders>
          </w:tcPr>
          <w:p w:rsidR="007C7568" w:rsidRDefault="007C7568" w:rsidP="00293CED">
            <w:pPr>
              <w:keepLines/>
              <w:tabs>
                <w:tab w:val="left" w:pos="201"/>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families assessed</w:t>
            </w:r>
          </w:p>
          <w:p w:rsidR="007C7568" w:rsidRDefault="007C7568" w:rsidP="001B347A">
            <w:pPr>
              <w:keepLine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youth enrolled in the gun courts</w:t>
            </w:r>
          </w:p>
          <w:p w:rsidR="007C7568" w:rsidRDefault="007C7568" w:rsidP="00293CED">
            <w:pPr>
              <w:keepLines/>
              <w:tabs>
                <w:tab w:val="left" w:pos="201"/>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7C7568" w:rsidRDefault="007C7568" w:rsidP="00293CED">
            <w:pPr>
              <w:keepLines/>
              <w:spacing w:after="0" w:line="240" w:lineRule="auto"/>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of agencies involved in the gun court</w:t>
            </w:r>
          </w:p>
        </w:tc>
        <w:tc>
          <w:tcPr>
            <w:tcW w:w="4242" w:type="dxa"/>
            <w:tcBorders>
              <w:top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specialty court success is based on providing coordinated services. Appropriate for any gun court program. Report the raw number of agencies or groups with which the gun court (or gun court lead agency) has a formal partnership agreement. Such agreements can take the form of a memorandum of understanding, formal procedures for referrals between the agency and the gun court, or any other document that outlines how the agency will work with the gun court. </w:t>
            </w:r>
          </w:p>
        </w:tc>
        <w:tc>
          <w:tcPr>
            <w:tcW w:w="2760" w:type="dxa"/>
            <w:tcBorders>
              <w:top w:val="single" w:sz="6" w:space="0" w:color="000000"/>
              <w:bottom w:val="single" w:sz="6" w:space="0" w:color="000000"/>
              <w:right w:val="single" w:sz="6" w:space="0" w:color="000000"/>
            </w:tcBorders>
          </w:tcPr>
          <w:p w:rsidR="007C7568" w:rsidRDefault="007C7568" w:rsidP="003E1F58">
            <w:pPr>
              <w:keepLine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agencies involved in the gun court</w:t>
            </w:r>
          </w:p>
          <w:p w:rsidR="007C7568" w:rsidRDefault="007C7568" w:rsidP="00293CED">
            <w:pPr>
              <w:keepLines/>
              <w:spacing w:after="0" w:line="240" w:lineRule="auto"/>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of gun court slots</w:t>
            </w:r>
          </w:p>
        </w:tc>
        <w:tc>
          <w:tcPr>
            <w:tcW w:w="4242" w:type="dxa"/>
            <w:tcBorders>
              <w:top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program scope. Appropriate for any gun court program. Report the number of youth that can participate in the gun court simultaneously. </w:t>
            </w:r>
          </w:p>
        </w:tc>
        <w:tc>
          <w:tcPr>
            <w:tcW w:w="2760" w:type="dxa"/>
            <w:tcBorders>
              <w:top w:val="single" w:sz="6" w:space="0" w:color="000000"/>
              <w:bottom w:val="single" w:sz="6" w:space="0" w:color="000000"/>
              <w:right w:val="single" w:sz="6" w:space="0" w:color="000000"/>
            </w:tcBorders>
          </w:tcPr>
          <w:p w:rsidR="007C7568" w:rsidRDefault="007C7568" w:rsidP="00293CED">
            <w:pPr>
              <w:keepLines/>
              <w:tabs>
                <w:tab w:val="left" w:pos="193"/>
              </w:tabs>
              <w:spacing w:after="0" w:line="240" w:lineRule="auto"/>
              <w:ind w:left="23"/>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gun court slots</w:t>
            </w:r>
          </w:p>
          <w:p w:rsidR="007C7568" w:rsidRDefault="007C7568" w:rsidP="00293CED">
            <w:pPr>
              <w:keepLines/>
              <w:spacing w:after="0" w:line="240" w:lineRule="auto"/>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color w:val="000000"/>
                <w:sz w:val="18"/>
                <w:szCs w:val="17"/>
              </w:rPr>
            </w:pP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18" w:lineRule="atLeast"/>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7C7568" w:rsidRPr="001A1B8D" w:rsidRDefault="007C7568" w:rsidP="00293CED">
            <w:pPr>
              <w:keepLines/>
              <w:spacing w:after="0" w:line="218" w:lineRule="atLeast"/>
              <w:rPr>
                <w:rFonts w:ascii="Arial Narrow" w:hAnsi="Arial Narrow" w:cs="Tahoma"/>
                <w:color w:val="000000"/>
                <w:sz w:val="18"/>
                <w:szCs w:val="17"/>
              </w:rPr>
            </w:pPr>
          </w:p>
        </w:tc>
        <w:tc>
          <w:tcPr>
            <w:tcW w:w="4242" w:type="dxa"/>
            <w:tcBorders>
              <w:top w:val="single" w:sz="6" w:space="0" w:color="000000"/>
              <w:bottom w:val="single" w:sz="6" w:space="0" w:color="000000"/>
              <w:right w:val="single" w:sz="6" w:space="0" w:color="000000"/>
            </w:tcBorders>
          </w:tcPr>
          <w:p w:rsidR="007C7568" w:rsidRPr="001A1B8D" w:rsidRDefault="007C7568"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760" w:type="dxa"/>
            <w:tcBorders>
              <w:top w:val="single" w:sz="6" w:space="0" w:color="000000"/>
              <w:bottom w:val="single" w:sz="6" w:space="0" w:color="000000"/>
              <w:right w:val="single" w:sz="6" w:space="0" w:color="000000"/>
            </w:tcBorders>
          </w:tcPr>
          <w:p w:rsidR="007C7568" w:rsidRPr="004211A8" w:rsidRDefault="007C7568" w:rsidP="007C7568">
            <w:pPr>
              <w:pStyle w:val="ListParagraph"/>
              <w:keepLines/>
              <w:numPr>
                <w:ilvl w:val="0"/>
                <w:numId w:val="1"/>
              </w:numPr>
              <w:tabs>
                <w:tab w:val="left" w:pos="207"/>
              </w:tabs>
              <w:spacing w:after="0" w:line="218" w:lineRule="atLeast"/>
              <w:ind w:left="195" w:hanging="195"/>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18" w:lineRule="atLeast"/>
              <w:rPr>
                <w:rFonts w:ascii="Arial Narrow" w:hAnsi="Arial Narrow" w:cs="Tahoma"/>
                <w:color w:val="000000"/>
                <w:sz w:val="18"/>
                <w:szCs w:val="17"/>
              </w:rPr>
            </w:pP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18" w:lineRule="atLeast"/>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p w:rsidR="007C7568" w:rsidRPr="001A1B8D" w:rsidRDefault="007C7568" w:rsidP="00293CED">
            <w:pPr>
              <w:keepLines/>
              <w:spacing w:after="0" w:line="218" w:lineRule="atLeast"/>
              <w:rPr>
                <w:rFonts w:ascii="Arial Narrow" w:hAnsi="Arial Narrow" w:cs="Tahoma"/>
                <w:color w:val="000000"/>
                <w:sz w:val="18"/>
                <w:szCs w:val="17"/>
              </w:rPr>
            </w:pPr>
          </w:p>
        </w:tc>
        <w:tc>
          <w:tcPr>
            <w:tcW w:w="4242" w:type="dxa"/>
            <w:tcBorders>
              <w:top w:val="single" w:sz="6" w:space="0" w:color="000000"/>
              <w:bottom w:val="single" w:sz="6" w:space="0" w:color="000000"/>
              <w:right w:val="single" w:sz="6" w:space="0" w:color="000000"/>
            </w:tcBorders>
          </w:tcPr>
          <w:p w:rsidR="007C7568" w:rsidRPr="001A1B8D" w:rsidRDefault="007C7568"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760" w:type="dxa"/>
            <w:tcBorders>
              <w:top w:val="single" w:sz="6" w:space="0" w:color="000000"/>
              <w:bottom w:val="single" w:sz="6" w:space="0" w:color="000000"/>
              <w:right w:val="single" w:sz="6" w:space="0" w:color="000000"/>
            </w:tcBorders>
          </w:tcPr>
          <w:p w:rsidR="007C7568" w:rsidRPr="004211A8" w:rsidRDefault="007C7568" w:rsidP="007C7568">
            <w:pPr>
              <w:pStyle w:val="ListParagraph"/>
              <w:keepLines/>
              <w:numPr>
                <w:ilvl w:val="0"/>
                <w:numId w:val="2"/>
              </w:numPr>
              <w:tabs>
                <w:tab w:val="left" w:pos="207"/>
              </w:tabs>
              <w:spacing w:after="0" w:line="218" w:lineRule="atLeast"/>
              <w:ind w:left="195" w:hanging="195"/>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18" w:lineRule="atLeast"/>
              <w:rPr>
                <w:rFonts w:ascii="Arial Narrow" w:hAnsi="Arial Narrow" w:cs="Tahoma"/>
                <w:color w:val="000000"/>
                <w:sz w:val="18"/>
                <w:szCs w:val="17"/>
              </w:rPr>
            </w:pP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18" w:lineRule="atLeast"/>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Pr="0033348B" w:rsidRDefault="007C7568" w:rsidP="00293CED">
            <w:pPr>
              <w:spacing w:after="0" w:line="240" w:lineRule="auto"/>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242" w:type="dxa"/>
            <w:tcBorders>
              <w:top w:val="single" w:sz="6" w:space="0" w:color="000000"/>
              <w:bottom w:val="single" w:sz="6" w:space="0" w:color="000000"/>
              <w:right w:val="single" w:sz="6" w:space="0" w:color="000000"/>
            </w:tcBorders>
          </w:tcPr>
          <w:p w:rsidR="007C7568" w:rsidRPr="0033348B" w:rsidRDefault="007C7568"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760" w:type="dxa"/>
            <w:tcBorders>
              <w:top w:val="single" w:sz="6" w:space="0" w:color="000000"/>
              <w:bottom w:val="single" w:sz="6" w:space="0" w:color="000000"/>
              <w:right w:val="single" w:sz="6" w:space="0" w:color="000000"/>
            </w:tcBorders>
          </w:tcPr>
          <w:p w:rsidR="007C7568" w:rsidRPr="0033348B" w:rsidRDefault="007C7568" w:rsidP="007C7568">
            <w:pPr>
              <w:pStyle w:val="ListParagraph"/>
              <w:keepLines/>
              <w:numPr>
                <w:ilvl w:val="0"/>
                <w:numId w:val="3"/>
              </w:numPr>
              <w:tabs>
                <w:tab w:val="left" w:pos="207"/>
              </w:tabs>
              <w:spacing w:after="0" w:line="218" w:lineRule="atLeast"/>
              <w:ind w:left="195" w:hanging="195"/>
              <w:rPr>
                <w:rFonts w:ascii="Arial Narrow" w:hAnsi="Arial Narrow" w:cs="Tahoma"/>
                <w:sz w:val="18"/>
                <w:szCs w:val="18"/>
              </w:rPr>
            </w:pPr>
            <w:r w:rsidRPr="007F4E33">
              <w:rPr>
                <w:rFonts w:ascii="Arial Narrow" w:hAnsi="Arial Narrow" w:cs="Tahoma"/>
                <w:sz w:val="18"/>
                <w:szCs w:val="18"/>
              </w:rPr>
              <w:t>Number of program materials developed</w:t>
            </w: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18" w:lineRule="atLeast"/>
              <w:rPr>
                <w:rFonts w:ascii="Arial Narrow" w:hAnsi="Arial Narrow" w:cs="Tahoma"/>
                <w:color w:val="000000"/>
                <w:sz w:val="18"/>
                <w:szCs w:val="17"/>
              </w:rPr>
            </w:pP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18" w:lineRule="atLeast"/>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Pr="0040497B" w:rsidRDefault="007C7568" w:rsidP="00293CED">
            <w:pPr>
              <w:spacing w:after="0" w:line="240" w:lineRule="auto"/>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242" w:type="dxa"/>
            <w:tcBorders>
              <w:top w:val="single" w:sz="6" w:space="0" w:color="000000"/>
              <w:bottom w:val="single" w:sz="6" w:space="0" w:color="000000"/>
              <w:right w:val="single" w:sz="6" w:space="0" w:color="000000"/>
            </w:tcBorders>
          </w:tcPr>
          <w:p w:rsidR="007C7568" w:rsidRPr="0040497B" w:rsidRDefault="007C7568" w:rsidP="00293CED">
            <w:pPr>
              <w:keepLines/>
              <w:spacing w:after="0"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60" w:type="dxa"/>
            <w:tcBorders>
              <w:top w:val="single" w:sz="6" w:space="0" w:color="000000"/>
              <w:bottom w:val="single" w:sz="6" w:space="0" w:color="000000"/>
              <w:right w:val="single" w:sz="6" w:space="0" w:color="000000"/>
            </w:tcBorders>
          </w:tcPr>
          <w:p w:rsidR="007C7568" w:rsidRPr="004211A8" w:rsidRDefault="007C7568" w:rsidP="007C7568">
            <w:pPr>
              <w:pStyle w:val="ListParagraph"/>
              <w:keepLines/>
              <w:numPr>
                <w:ilvl w:val="0"/>
                <w:numId w:val="4"/>
              </w:numPr>
              <w:tabs>
                <w:tab w:val="left" w:pos="207"/>
              </w:tabs>
              <w:spacing w:after="0" w:line="218" w:lineRule="atLeast"/>
              <w:ind w:left="195" w:hanging="195"/>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18" w:lineRule="atLeast"/>
              <w:rPr>
                <w:rFonts w:ascii="Arial Narrow" w:hAnsi="Arial Narrow" w:cs="Tahoma"/>
                <w:color w:val="000000"/>
                <w:sz w:val="18"/>
                <w:szCs w:val="17"/>
              </w:rPr>
            </w:pP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18" w:lineRule="atLeast"/>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Pr="0033348B" w:rsidRDefault="007C7568" w:rsidP="00293CED">
            <w:pPr>
              <w:spacing w:after="0" w:line="240" w:lineRule="auto"/>
              <w:rPr>
                <w:rFonts w:ascii="Arial Narrow" w:hAnsi="Arial Narrow" w:cs="Tahoma"/>
                <w:sz w:val="18"/>
                <w:szCs w:val="18"/>
              </w:rPr>
            </w:pPr>
            <w:r w:rsidRPr="007F4E33">
              <w:rPr>
                <w:rFonts w:ascii="Arial Narrow" w:hAnsi="Arial Narrow" w:cs="Tahoma"/>
                <w:sz w:val="18"/>
                <w:szCs w:val="18"/>
              </w:rPr>
              <w:t>Number of people trained during the reporting period</w:t>
            </w:r>
          </w:p>
        </w:tc>
        <w:tc>
          <w:tcPr>
            <w:tcW w:w="4242" w:type="dxa"/>
            <w:tcBorders>
              <w:top w:val="single" w:sz="6" w:space="0" w:color="000000"/>
              <w:bottom w:val="single" w:sz="6" w:space="0" w:color="000000"/>
              <w:right w:val="single" w:sz="6" w:space="0" w:color="000000"/>
            </w:tcBorders>
          </w:tcPr>
          <w:p w:rsidR="007C7568" w:rsidRPr="0033348B" w:rsidRDefault="007C7568"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60" w:type="dxa"/>
            <w:tcBorders>
              <w:top w:val="single" w:sz="6" w:space="0" w:color="000000"/>
              <w:bottom w:val="single" w:sz="6" w:space="0" w:color="000000"/>
              <w:right w:val="single" w:sz="6" w:space="0" w:color="000000"/>
            </w:tcBorders>
          </w:tcPr>
          <w:p w:rsidR="007C7568" w:rsidRPr="0033348B" w:rsidRDefault="007C7568" w:rsidP="007C7568">
            <w:pPr>
              <w:pStyle w:val="ListParagraph"/>
              <w:keepLines/>
              <w:numPr>
                <w:ilvl w:val="0"/>
                <w:numId w:val="5"/>
              </w:numPr>
              <w:tabs>
                <w:tab w:val="left" w:pos="207"/>
              </w:tabs>
              <w:spacing w:after="0" w:line="218" w:lineRule="atLeast"/>
              <w:rPr>
                <w:rFonts w:ascii="Arial Narrow" w:hAnsi="Arial Narrow" w:cs="Tahoma"/>
                <w:sz w:val="18"/>
                <w:szCs w:val="18"/>
              </w:rPr>
            </w:pPr>
            <w:r w:rsidRPr="007F4E33">
              <w:rPr>
                <w:rFonts w:ascii="Arial Narrow" w:hAnsi="Arial Narrow" w:cs="Tahoma"/>
                <w:sz w:val="18"/>
                <w:szCs w:val="18"/>
              </w:rPr>
              <w:t>Number of people trained</w:t>
            </w: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18" w:lineRule="atLeast"/>
              <w:rPr>
                <w:rFonts w:ascii="Arial Narrow" w:hAnsi="Arial Narrow" w:cs="Tahoma"/>
                <w:color w:val="000000"/>
                <w:sz w:val="18"/>
                <w:szCs w:val="17"/>
              </w:rPr>
            </w:pP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18" w:lineRule="atLeast"/>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rsidR="007C7568" w:rsidRPr="001A1B8D" w:rsidRDefault="007C7568" w:rsidP="00293CED">
            <w:pPr>
              <w:keepLines/>
              <w:spacing w:after="0" w:line="218" w:lineRule="atLeast"/>
              <w:rPr>
                <w:rFonts w:ascii="Arial Narrow" w:hAnsi="Arial Narrow" w:cs="Tahoma"/>
                <w:color w:val="000000"/>
                <w:sz w:val="18"/>
                <w:szCs w:val="17"/>
              </w:rPr>
            </w:pPr>
          </w:p>
        </w:tc>
        <w:tc>
          <w:tcPr>
            <w:tcW w:w="4242" w:type="dxa"/>
            <w:tcBorders>
              <w:top w:val="single" w:sz="6" w:space="0" w:color="000000"/>
              <w:bottom w:val="single" w:sz="6" w:space="0" w:color="000000"/>
              <w:right w:val="single" w:sz="6" w:space="0" w:color="000000"/>
            </w:tcBorders>
          </w:tcPr>
          <w:p w:rsidR="007C7568" w:rsidRPr="001A1B8D" w:rsidRDefault="007C7568"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760" w:type="dxa"/>
            <w:tcBorders>
              <w:top w:val="single" w:sz="6" w:space="0" w:color="000000"/>
              <w:bottom w:val="single" w:sz="6" w:space="0" w:color="000000"/>
              <w:right w:val="single" w:sz="6" w:space="0" w:color="000000"/>
            </w:tcBorders>
          </w:tcPr>
          <w:p w:rsidR="007C7568" w:rsidRPr="0040497B" w:rsidRDefault="007C7568" w:rsidP="001B347A">
            <w:pPr>
              <w:keepLines/>
              <w:numPr>
                <w:ilvl w:val="0"/>
                <w:numId w:val="6"/>
              </w:numPr>
              <w:spacing w:after="0" w:line="240" w:lineRule="auto"/>
              <w:ind w:left="231" w:hanging="231"/>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7C7568" w:rsidRPr="0040497B" w:rsidRDefault="007C7568" w:rsidP="001B347A">
            <w:pPr>
              <w:keepLines/>
              <w:numPr>
                <w:ilvl w:val="0"/>
                <w:numId w:val="6"/>
              </w:numPr>
              <w:spacing w:after="0" w:line="240" w:lineRule="auto"/>
              <w:ind w:left="231" w:hanging="231"/>
              <w:rPr>
                <w:rFonts w:ascii="Arial Narrow" w:hAnsi="Arial Narrow" w:cs="Tahoma"/>
                <w:sz w:val="18"/>
                <w:szCs w:val="18"/>
              </w:rPr>
            </w:pPr>
            <w:r w:rsidRPr="0040497B">
              <w:rPr>
                <w:rFonts w:ascii="Arial Narrow" w:hAnsi="Arial Narrow" w:cs="Tahoma"/>
                <w:sz w:val="18"/>
                <w:szCs w:val="18"/>
              </w:rPr>
              <w:t>Number of programs served by TTA</w:t>
            </w:r>
          </w:p>
          <w:p w:rsidR="007C7568" w:rsidRPr="0040497B" w:rsidRDefault="007C7568" w:rsidP="001B347A">
            <w:pPr>
              <w:keepLines/>
              <w:numPr>
                <w:ilvl w:val="0"/>
                <w:numId w:val="6"/>
              </w:numPr>
              <w:spacing w:after="0" w:line="240" w:lineRule="auto"/>
              <w:ind w:left="231" w:hanging="231"/>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18" w:lineRule="atLeast"/>
              <w:rPr>
                <w:rFonts w:ascii="Arial Narrow" w:hAnsi="Arial Narrow" w:cs="Tahoma"/>
                <w:color w:val="000000"/>
                <w:sz w:val="18"/>
                <w:szCs w:val="17"/>
              </w:rPr>
            </w:pP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18" w:lineRule="atLeast"/>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7C7568" w:rsidRPr="00417A72" w:rsidRDefault="007C7568" w:rsidP="00293CED">
            <w:pPr>
              <w:keepLines/>
              <w:spacing w:after="0" w:line="240" w:lineRule="auto"/>
              <w:rPr>
                <w:rFonts w:ascii="Arial Narrow" w:hAnsi="Arial Narrow" w:cs="Tahoma"/>
                <w:bCs/>
                <w:sz w:val="18"/>
                <w:szCs w:val="18"/>
              </w:rPr>
            </w:pPr>
          </w:p>
        </w:tc>
        <w:tc>
          <w:tcPr>
            <w:tcW w:w="4242" w:type="dxa"/>
            <w:tcBorders>
              <w:top w:val="single" w:sz="6" w:space="0" w:color="000000"/>
              <w:bottom w:val="single" w:sz="6" w:space="0" w:color="000000"/>
              <w:right w:val="single" w:sz="6" w:space="0" w:color="000000"/>
            </w:tcBorders>
          </w:tcPr>
          <w:p w:rsidR="007C7568" w:rsidRPr="00417A72" w:rsidRDefault="007C7568"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760" w:type="dxa"/>
            <w:tcBorders>
              <w:top w:val="single" w:sz="6" w:space="0" w:color="000000"/>
              <w:bottom w:val="single" w:sz="6" w:space="0" w:color="000000"/>
              <w:right w:val="single" w:sz="6" w:space="0" w:color="000000"/>
            </w:tcBorders>
          </w:tcPr>
          <w:p w:rsidR="007C7568" w:rsidRPr="0040497B" w:rsidRDefault="007C7568" w:rsidP="003E1F58">
            <w:pPr>
              <w:keepLines/>
              <w:numPr>
                <w:ilvl w:val="0"/>
                <w:numId w:val="12"/>
              </w:numPr>
              <w:spacing w:after="0" w:line="240" w:lineRule="auto"/>
              <w:ind w:left="231" w:hanging="231"/>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7C7568" w:rsidRPr="0040497B" w:rsidRDefault="007C7568" w:rsidP="003E1F58">
            <w:pPr>
              <w:keepLines/>
              <w:numPr>
                <w:ilvl w:val="0"/>
                <w:numId w:val="12"/>
              </w:numPr>
              <w:spacing w:after="0" w:line="240" w:lineRule="auto"/>
              <w:ind w:left="231" w:hanging="231"/>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18" w:lineRule="atLeast"/>
              <w:rPr>
                <w:rFonts w:ascii="Arial Narrow" w:hAnsi="Arial Narrow" w:cs="Tahoma"/>
                <w:color w:val="000000"/>
                <w:sz w:val="18"/>
                <w:szCs w:val="17"/>
              </w:rPr>
            </w:pP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18" w:lineRule="atLeast"/>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Default="007C7568"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7C7568" w:rsidRPr="00904641" w:rsidRDefault="007C7568" w:rsidP="00293CED">
            <w:pPr>
              <w:keepLines/>
              <w:spacing w:after="0" w:line="240" w:lineRule="auto"/>
              <w:rPr>
                <w:rFonts w:ascii="Arial Narrow" w:hAnsi="Arial Narrow" w:cs="Tahoma"/>
                <w:bCs/>
                <w:sz w:val="18"/>
                <w:szCs w:val="18"/>
              </w:rPr>
            </w:pPr>
          </w:p>
        </w:tc>
        <w:tc>
          <w:tcPr>
            <w:tcW w:w="4242" w:type="dxa"/>
            <w:tcBorders>
              <w:top w:val="single" w:sz="6" w:space="0" w:color="000000"/>
              <w:bottom w:val="single" w:sz="6" w:space="0" w:color="000000"/>
              <w:right w:val="single" w:sz="6" w:space="0" w:color="000000"/>
            </w:tcBorders>
          </w:tcPr>
          <w:p w:rsidR="007C7568" w:rsidRPr="00904641" w:rsidRDefault="007C7568"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760" w:type="dxa"/>
            <w:tcBorders>
              <w:top w:val="single" w:sz="6" w:space="0" w:color="000000"/>
              <w:bottom w:val="single" w:sz="6" w:space="0" w:color="000000"/>
              <w:right w:val="single" w:sz="6" w:space="0" w:color="000000"/>
            </w:tcBorders>
          </w:tcPr>
          <w:p w:rsidR="007C7568" w:rsidRPr="0040497B" w:rsidRDefault="007C7568" w:rsidP="003102F2">
            <w:pPr>
              <w:keepLines/>
              <w:numPr>
                <w:ilvl w:val="0"/>
                <w:numId w:val="8"/>
              </w:numPr>
              <w:spacing w:after="0" w:line="240" w:lineRule="auto"/>
              <w:ind w:left="285" w:hanging="270"/>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7C7568" w:rsidRPr="0040497B" w:rsidRDefault="007C7568" w:rsidP="003102F2">
            <w:pPr>
              <w:keepLines/>
              <w:numPr>
                <w:ilvl w:val="0"/>
                <w:numId w:val="8"/>
              </w:numPr>
              <w:spacing w:after="0" w:line="240" w:lineRule="auto"/>
              <w:ind w:left="285" w:hanging="270"/>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7C7568" w:rsidRPr="0040497B" w:rsidRDefault="007C7568" w:rsidP="003102F2">
            <w:pPr>
              <w:keepLines/>
              <w:numPr>
                <w:ilvl w:val="0"/>
                <w:numId w:val="8"/>
              </w:numPr>
              <w:spacing w:after="0" w:line="240" w:lineRule="auto"/>
              <w:ind w:left="285" w:hanging="270"/>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18" w:lineRule="atLeast"/>
              <w:rPr>
                <w:rFonts w:ascii="Arial Narrow" w:hAnsi="Arial Narrow" w:cs="Tahoma"/>
                <w:color w:val="000000"/>
                <w:sz w:val="18"/>
                <w:szCs w:val="17"/>
              </w:rPr>
            </w:pPr>
          </w:p>
        </w:tc>
      </w:tr>
      <w:tr w:rsidR="007C7568" w:rsidRPr="00EE4B12" w:rsidTr="003E1F58">
        <w:trPr>
          <w:cantSplit/>
        </w:trPr>
        <w:tc>
          <w:tcPr>
            <w:tcW w:w="0" w:type="auto"/>
            <w:tcBorders>
              <w:top w:val="single" w:sz="6" w:space="0" w:color="000000"/>
              <w:left w:val="single" w:sz="6" w:space="0" w:color="000000"/>
              <w:bottom w:val="single" w:sz="6" w:space="0" w:color="000000"/>
            </w:tcBorders>
          </w:tcPr>
          <w:p w:rsidR="007C7568" w:rsidRPr="00CB717F" w:rsidRDefault="007C7568" w:rsidP="00CB717F">
            <w:pPr>
              <w:pStyle w:val="ListParagraph"/>
              <w:keepLines/>
              <w:numPr>
                <w:ilvl w:val="0"/>
                <w:numId w:val="10"/>
              </w:numPr>
              <w:spacing w:after="0" w:line="218" w:lineRule="atLeast"/>
              <w:rPr>
                <w:rFonts w:ascii="Arial Narrow" w:hAnsi="Arial Narrow" w:cs="Tahoma"/>
                <w:color w:val="000000"/>
                <w:sz w:val="18"/>
                <w:szCs w:val="17"/>
              </w:rPr>
            </w:pPr>
          </w:p>
        </w:tc>
        <w:tc>
          <w:tcPr>
            <w:tcW w:w="0" w:type="auto"/>
            <w:tcBorders>
              <w:top w:val="single" w:sz="6" w:space="0" w:color="000000"/>
              <w:left w:val="single" w:sz="6" w:space="0" w:color="000000"/>
              <w:bottom w:val="single" w:sz="6" w:space="0" w:color="000000"/>
              <w:right w:val="single" w:sz="6" w:space="0" w:color="000000"/>
            </w:tcBorders>
          </w:tcPr>
          <w:p w:rsidR="007C7568" w:rsidRPr="0033348B" w:rsidRDefault="007C7568"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242" w:type="dxa"/>
            <w:tcBorders>
              <w:top w:val="single" w:sz="6" w:space="0" w:color="000000"/>
              <w:bottom w:val="single" w:sz="6" w:space="0" w:color="000000"/>
              <w:right w:val="single" w:sz="6" w:space="0" w:color="000000"/>
            </w:tcBorders>
          </w:tcPr>
          <w:p w:rsidR="007C7568" w:rsidRPr="0033348B" w:rsidRDefault="007C7568"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760" w:type="dxa"/>
            <w:tcBorders>
              <w:top w:val="single" w:sz="6" w:space="0" w:color="000000"/>
              <w:bottom w:val="single" w:sz="6" w:space="0" w:color="000000"/>
              <w:right w:val="single" w:sz="6" w:space="0" w:color="000000"/>
            </w:tcBorders>
          </w:tcPr>
          <w:p w:rsidR="007C7568" w:rsidRPr="0040497B" w:rsidRDefault="007C7568" w:rsidP="003102F2">
            <w:pPr>
              <w:keepLines/>
              <w:numPr>
                <w:ilvl w:val="0"/>
                <w:numId w:val="9"/>
              </w:numPr>
              <w:spacing w:after="0" w:line="240" w:lineRule="auto"/>
              <w:ind w:left="285" w:hanging="270"/>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7C7568" w:rsidRPr="0040497B" w:rsidRDefault="007C7568" w:rsidP="003102F2">
            <w:pPr>
              <w:keepLines/>
              <w:numPr>
                <w:ilvl w:val="0"/>
                <w:numId w:val="9"/>
              </w:numPr>
              <w:spacing w:after="0" w:line="240" w:lineRule="auto"/>
              <w:ind w:left="285" w:hanging="270"/>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7C7568" w:rsidRPr="0040497B" w:rsidRDefault="007C7568" w:rsidP="003102F2">
            <w:pPr>
              <w:keepLines/>
              <w:numPr>
                <w:ilvl w:val="0"/>
                <w:numId w:val="9"/>
              </w:numPr>
              <w:spacing w:after="0" w:line="240" w:lineRule="auto"/>
              <w:ind w:left="285" w:hanging="270"/>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425" w:type="dxa"/>
            <w:tcBorders>
              <w:top w:val="single" w:sz="6" w:space="0" w:color="000000"/>
              <w:bottom w:val="single" w:sz="6" w:space="0" w:color="000000"/>
              <w:right w:val="single" w:sz="6" w:space="0" w:color="000000"/>
            </w:tcBorders>
          </w:tcPr>
          <w:p w:rsidR="007C7568" w:rsidRDefault="007C7568" w:rsidP="00293CED">
            <w:pPr>
              <w:keepLines/>
              <w:spacing w:after="0" w:line="218" w:lineRule="atLeast"/>
              <w:rPr>
                <w:rFonts w:ascii="Arial Narrow" w:hAnsi="Arial Narrow" w:cs="Tahoma"/>
                <w:color w:val="000000"/>
                <w:sz w:val="18"/>
                <w:szCs w:val="17"/>
              </w:rPr>
            </w:pPr>
          </w:p>
        </w:tc>
      </w:tr>
    </w:tbl>
    <w:p w:rsidR="007F62EE" w:rsidRDefault="007F62EE"/>
    <w:p w:rsidR="003102F2" w:rsidRDefault="003102F2">
      <w:r>
        <w:br w:type="page"/>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54"/>
        <w:gridCol w:w="2149"/>
        <w:gridCol w:w="4401"/>
        <w:gridCol w:w="2519"/>
        <w:gridCol w:w="1527"/>
      </w:tblGrid>
      <w:tr w:rsidR="007C7568" w:rsidRPr="00636FE4" w:rsidTr="003102F2">
        <w:trPr>
          <w:cantSplit/>
          <w:trHeight w:val="205"/>
          <w:tblHeader/>
        </w:trPr>
        <w:tc>
          <w:tcPr>
            <w:tcW w:w="355" w:type="dxa"/>
            <w:tcBorders>
              <w:right w:val="single" w:sz="6" w:space="0" w:color="FFFFFF" w:themeColor="background1"/>
            </w:tcBorders>
            <w:shd w:val="clear" w:color="auto" w:fill="003366"/>
            <w:vAlign w:val="center"/>
          </w:tcPr>
          <w:p w:rsidR="007C7568" w:rsidRPr="003102F2" w:rsidRDefault="007C7568" w:rsidP="00293CED">
            <w:pPr>
              <w:keepLines/>
              <w:spacing w:after="0" w:line="240" w:lineRule="auto"/>
              <w:rPr>
                <w:rFonts w:ascii="Arial Narrow Bold" w:hAnsi="Arial Narrow Bold" w:cs="Tahoma"/>
                <w:b/>
                <w:color w:val="FFFFFF"/>
                <w:sz w:val="18"/>
                <w:szCs w:val="18"/>
              </w:rPr>
            </w:pPr>
            <w:r w:rsidRPr="003102F2">
              <w:rPr>
                <w:rStyle w:val="Strong"/>
                <w:rFonts w:ascii="Arial Narrow Bold" w:hAnsi="Arial Narrow Bold" w:cs="Tahoma"/>
                <w:color w:val="FFFFFF"/>
                <w:sz w:val="18"/>
                <w:szCs w:val="18"/>
              </w:rPr>
              <w:lastRenderedPageBreak/>
              <w:t>#</w:t>
            </w:r>
          </w:p>
        </w:tc>
        <w:tc>
          <w:tcPr>
            <w:tcW w:w="2153" w:type="dxa"/>
            <w:tcBorders>
              <w:left w:val="single" w:sz="6" w:space="0" w:color="FFFFFF" w:themeColor="background1"/>
              <w:right w:val="single" w:sz="6" w:space="0" w:color="FFFFFF" w:themeColor="background1"/>
            </w:tcBorders>
            <w:shd w:val="clear" w:color="auto" w:fill="003366"/>
            <w:vAlign w:val="center"/>
          </w:tcPr>
          <w:p w:rsidR="007C7568" w:rsidRPr="003102F2" w:rsidRDefault="007C7568" w:rsidP="00293CED">
            <w:pPr>
              <w:keepLines/>
              <w:spacing w:after="0" w:line="240" w:lineRule="auto"/>
              <w:rPr>
                <w:rFonts w:ascii="Arial Narrow Bold" w:hAnsi="Arial Narrow Bold" w:cs="Tahoma"/>
                <w:b/>
                <w:color w:val="FFFFFF"/>
                <w:sz w:val="18"/>
                <w:szCs w:val="18"/>
              </w:rPr>
            </w:pPr>
            <w:r w:rsidRPr="003102F2">
              <w:rPr>
                <w:rStyle w:val="Strong"/>
                <w:rFonts w:ascii="Arial Narrow Bold" w:hAnsi="Arial Narrow Bold" w:cs="Tahoma"/>
                <w:color w:val="FFFFFF"/>
                <w:sz w:val="18"/>
                <w:szCs w:val="18"/>
              </w:rPr>
              <w:t>Outcome Measure</w:t>
            </w:r>
          </w:p>
        </w:tc>
        <w:tc>
          <w:tcPr>
            <w:tcW w:w="4417" w:type="dxa"/>
            <w:tcBorders>
              <w:left w:val="single" w:sz="6" w:space="0" w:color="FFFFFF" w:themeColor="background1"/>
              <w:right w:val="single" w:sz="6" w:space="0" w:color="FFFFFF" w:themeColor="background1"/>
            </w:tcBorders>
            <w:shd w:val="clear" w:color="auto" w:fill="003366"/>
            <w:vAlign w:val="center"/>
          </w:tcPr>
          <w:p w:rsidR="007C7568" w:rsidRPr="003102F2" w:rsidRDefault="007C7568" w:rsidP="00293CED">
            <w:pPr>
              <w:keepLines/>
              <w:spacing w:after="0" w:line="240" w:lineRule="auto"/>
              <w:rPr>
                <w:rFonts w:ascii="Arial Narrow Bold" w:hAnsi="Arial Narrow Bold" w:cs="Tahoma"/>
                <w:b/>
                <w:color w:val="FFFFFF"/>
                <w:sz w:val="18"/>
                <w:szCs w:val="18"/>
              </w:rPr>
            </w:pPr>
            <w:r w:rsidRPr="003102F2">
              <w:rPr>
                <w:rStyle w:val="Strong"/>
                <w:rFonts w:ascii="Arial Narrow Bold" w:hAnsi="Arial Narrow Bold" w:cs="Tahoma"/>
                <w:color w:val="FFFFFF"/>
                <w:sz w:val="18"/>
                <w:szCs w:val="18"/>
              </w:rPr>
              <w:t>Definition</w:t>
            </w:r>
          </w:p>
        </w:tc>
        <w:tc>
          <w:tcPr>
            <w:tcW w:w="2519" w:type="dxa"/>
            <w:tcBorders>
              <w:left w:val="single" w:sz="6" w:space="0" w:color="FFFFFF" w:themeColor="background1"/>
              <w:right w:val="single" w:sz="6" w:space="0" w:color="FFFFFF" w:themeColor="background1"/>
            </w:tcBorders>
            <w:shd w:val="clear" w:color="auto" w:fill="003366"/>
            <w:noWrap/>
            <w:vAlign w:val="center"/>
          </w:tcPr>
          <w:p w:rsidR="007C7568" w:rsidRPr="003102F2" w:rsidRDefault="007C7568" w:rsidP="00293CED">
            <w:pPr>
              <w:keepLines/>
              <w:spacing w:after="0" w:line="240" w:lineRule="auto"/>
              <w:rPr>
                <w:rFonts w:ascii="Arial Narrow Bold" w:hAnsi="Arial Narrow Bold" w:cs="Tahoma"/>
                <w:b/>
                <w:color w:val="FFFFFF"/>
                <w:sz w:val="18"/>
                <w:szCs w:val="18"/>
              </w:rPr>
            </w:pPr>
            <w:r w:rsidRPr="003102F2">
              <w:rPr>
                <w:rStyle w:val="Strong"/>
                <w:rFonts w:ascii="Arial Narrow Bold" w:hAnsi="Arial Narrow Bold" w:cs="Tahoma"/>
                <w:color w:val="FFFFFF"/>
                <w:sz w:val="18"/>
                <w:szCs w:val="18"/>
              </w:rPr>
              <w:t>Data Grantee Provides</w:t>
            </w:r>
          </w:p>
        </w:tc>
        <w:tc>
          <w:tcPr>
            <w:tcW w:w="1531" w:type="dxa"/>
            <w:tcBorders>
              <w:left w:val="single" w:sz="6" w:space="0" w:color="FFFFFF" w:themeColor="background1"/>
            </w:tcBorders>
            <w:shd w:val="clear" w:color="auto" w:fill="003366"/>
          </w:tcPr>
          <w:p w:rsidR="007C7568" w:rsidRPr="003102F2" w:rsidRDefault="007C7568" w:rsidP="00293CED">
            <w:pPr>
              <w:keepLines/>
              <w:spacing w:after="0" w:line="240" w:lineRule="auto"/>
              <w:rPr>
                <w:rStyle w:val="Strong"/>
                <w:rFonts w:ascii="Arial Narrow Bold" w:hAnsi="Arial Narrow Bold" w:cs="Tahoma"/>
                <w:color w:val="FFFFFF"/>
                <w:sz w:val="18"/>
                <w:szCs w:val="18"/>
              </w:rPr>
            </w:pPr>
            <w:r w:rsidRPr="003102F2">
              <w:rPr>
                <w:rStyle w:val="Strong"/>
                <w:rFonts w:ascii="Arial Narrow Bold" w:hAnsi="Arial Narrow Bold" w:cs="Tahoma"/>
                <w:color w:val="FFFFFF"/>
                <w:sz w:val="18"/>
                <w:szCs w:val="18"/>
              </w:rPr>
              <w:t>Record Data Here</w:t>
            </w: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Time in days from arrest to enrollment in the gun court</w:t>
            </w:r>
            <w:r>
              <w:rPr>
                <w:rFonts w:ascii="Arial Narrow" w:hAnsi="Arial Narrow" w:cs="Tahoma"/>
                <w:color w:val="000000"/>
                <w:sz w:val="18"/>
                <w:szCs w:val="17"/>
              </w:rPr>
              <w:t xml:space="preserve"> (short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efficiency. Appropriate for any gun court program. Report the raw number of calendar days from the arrest of a juvenile offender to his/her first participation in the gun court. For example, this might be the youth/family signing consent to participate, engaging in a gun court assessment, or a meeting between the family and the gun court staff to explain the requirements of the gun court.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days from arrest to enrollment</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treatment (clinical) slots available to the gun court</w:t>
            </w:r>
            <w:r>
              <w:rPr>
                <w:rFonts w:ascii="Arial Narrow" w:hAnsi="Arial Narrow" w:cs="Tahoma"/>
                <w:color w:val="000000"/>
                <w:sz w:val="18"/>
                <w:szCs w:val="17"/>
              </w:rPr>
              <w:t xml:space="preserve"> (short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for a specialty court to be effective, it has to have adequate ability to refer youth to needed services. Appropriate for any gun court. Report the number of clinical treatment slots to which the gun court can refer youth. For example, if the court is able to refer 10 youth to residential drug treatment, 15 youth to outpatient mental health services, and 30 youth for physical examinations at any one time, the program would report having 55 slots.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clinical treatment slots</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types of treatment (clinical) offered through the gun court</w:t>
            </w:r>
            <w:r>
              <w:rPr>
                <w:rFonts w:ascii="Arial Narrow" w:hAnsi="Arial Narrow" w:cs="Tahoma"/>
                <w:color w:val="000000"/>
                <w:sz w:val="18"/>
                <w:szCs w:val="17"/>
              </w:rPr>
              <w:t xml:space="preserve"> (short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 xml:space="preserve">Measure of program quality based on the idea that for a specialty court to be effective, it has to have adequate ability to refer youth to needed services. Appropriate for any gun court. Report the number of different types of clinical treatment to which the gun court can refer youth. Include treatment types for which there </w:t>
            </w:r>
            <w:r>
              <w:rPr>
                <w:rFonts w:ascii="Arial Narrow" w:hAnsi="Arial Narrow" w:cs="Tahoma"/>
                <w:color w:val="000000"/>
                <w:sz w:val="18"/>
                <w:szCs w:val="17"/>
              </w:rPr>
              <w:t xml:space="preserve">are </w:t>
            </w:r>
            <w:r w:rsidRPr="00496B95">
              <w:rPr>
                <w:rFonts w:ascii="Arial Narrow" w:hAnsi="Arial Narrow" w:cs="Tahoma"/>
                <w:color w:val="000000"/>
                <w:sz w:val="18"/>
                <w:szCs w:val="17"/>
              </w:rPr>
              <w:t>an agreement or history of referral, not treatment types that the court can refer to if a need arises. Clinical treatment includes services provided by a licensed professional such as a medical doctor, psychologist, licensed social worker, certified family counselor, or certified addictions specialist.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types of clinical treatment available</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service (non-clinical) slots available to the gun court</w:t>
            </w:r>
            <w:r>
              <w:rPr>
                <w:rFonts w:ascii="Arial Narrow" w:hAnsi="Arial Narrow" w:cs="Tahoma"/>
                <w:color w:val="000000"/>
                <w:sz w:val="18"/>
                <w:szCs w:val="17"/>
              </w:rPr>
              <w:t xml:space="preserve"> (short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for a specialty court to be effective, it has to have adequate ability to refer youth to needed services. Appropriate for any gun court. Report the number of non-clinical service slots to which the gun court can refer youth. For example, if the court is able to refer 10 youth to life skills training, 15 youth to vocational training, and 30 youth for GED classes, the program would report having 55 slots.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non-clinical service slots</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types of service offered through the gun court</w:t>
            </w:r>
            <w:r>
              <w:rPr>
                <w:rFonts w:ascii="Arial Narrow" w:hAnsi="Arial Narrow" w:cs="Tahoma"/>
                <w:color w:val="000000"/>
                <w:sz w:val="18"/>
                <w:szCs w:val="17"/>
              </w:rPr>
              <w:t xml:space="preserve"> (short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for a specialty court to be effective, it has to have adequate ability to refer youth to needed services. Appropriate for any gun court. Report the number of different types of non-clinical services to which the gun court can refer youth. Include service types for which there is an agreement or history of referral, not service types that the court can refer to if a need arises. For example, services may include transportation, food vouchers, housing assistance, help getting back into school.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types of non-clinical service</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eligible youth to enter the gun court</w:t>
            </w:r>
            <w:r>
              <w:rPr>
                <w:rFonts w:ascii="Arial Narrow" w:hAnsi="Arial Narrow" w:cs="Tahoma"/>
                <w:color w:val="000000"/>
                <w:sz w:val="18"/>
                <w:szCs w:val="17"/>
              </w:rPr>
              <w:t xml:space="preserve"> (intermediate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the system has a responsibility to serve as many eligible youth as possible. Appropriate for any gun court or larger jurisdiction that includes a gun court. Report the raw number of juveniles who actually become enrolled in the gun court. Enrollment may include things like signing a participation agreement, assignment of a gun court case specialist, or appearing before a gun court judge. Percent is the raw number divided by the number of juveniles who meet minimal gun court eligibility. For example, if eligibility is based on the commission of a certain group of crimes and 100 youth commit at least one of those crimes, and the gun court enrolls 30 people, the percent would be 30.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youth enrolled</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youth eligible</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judicial contacts per youth per month</w:t>
            </w:r>
            <w:r>
              <w:rPr>
                <w:rFonts w:ascii="Arial Narrow" w:hAnsi="Arial Narrow" w:cs="Tahoma"/>
                <w:color w:val="000000"/>
                <w:sz w:val="18"/>
                <w:szCs w:val="17"/>
              </w:rPr>
              <w:t xml:space="preserve"> (intermediate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specialty courts require strict monitoring of their participants. Appropriate for any gun court. Report the average number of judicial contacts with gun court participants per month. Specifically, take the number of judicial contacts with gun court youth in a 1-month period. Divide that number by the number of youth enrolled during any part of that month.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judicial contacts with youth</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youth enrolled in the gun court</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Number of contacts per youth (a/b)</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hours of treatment received per youth participating in the gun court</w:t>
            </w:r>
            <w:r>
              <w:rPr>
                <w:rFonts w:ascii="Arial Narrow" w:hAnsi="Arial Narrow" w:cs="Tahoma"/>
                <w:color w:val="000000"/>
                <w:sz w:val="18"/>
                <w:szCs w:val="17"/>
              </w:rPr>
              <w:t xml:space="preserve"> (intermediate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specialty courts result in higher levels of treatment receipt than do traditional courts. Appropriate for any gun court. Report the average number of clinical treatment hours received per youth per month. Specifically, take the number of clinical treatment hours that gun court youth receive in a 1-month period. Divide that number by the number of youth enrolled during any part of that month in clinical treatment, which include services provided by a licensed professional such as a medical doctor, psychologist, licensed social worker, certified family counselor, or certified addictions specialist.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Average number of hours of clinical treatment received</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youth enrolled in the gun court</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Number of clinical hours per youth (a/b)</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Service intensity</w:t>
            </w:r>
            <w:r>
              <w:rPr>
                <w:rFonts w:ascii="Arial Narrow" w:hAnsi="Arial Narrow" w:cs="Tahoma"/>
                <w:color w:val="000000"/>
                <w:sz w:val="18"/>
                <w:szCs w:val="17"/>
              </w:rPr>
              <w:t xml:space="preserve"> (intermediate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specialty courts result in higher levels of service receipt than do traditional courts. Appropriate for any specialty court (e.g. gun court or drug court). Report the average number of days a non-clinical service was received by number of days enrolled in specialty court across youth. For example, services may include transportation, food vouchers, housing assistance, or help getting back into school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Average number of days of service per youth while enrolled</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Average number of days youth are enrolled</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families of participants to actually participate in at least one recommended service (not including court appearances)</w:t>
            </w:r>
            <w:r>
              <w:rPr>
                <w:rFonts w:ascii="Arial Narrow" w:hAnsi="Arial Narrow" w:cs="Tahoma"/>
                <w:color w:val="000000"/>
                <w:sz w:val="18"/>
                <w:szCs w:val="17"/>
              </w:rPr>
              <w:t xml:space="preserve"> (intermediate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client accountability. Appropriate for any gun court program. Report the raw number of families with a member enrolled in the gun court to participate in at least one gun court service or treatment. Do not include appearances by family members at court dates or family members who solely drop youth off for their gun court requirements. Percent is the raw number divided by the total number of families that have a member enrolled in the gun court.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families to participate</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families with a youth enrolled</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Average number of different services and treatments received by youth gun court participants</w:t>
            </w:r>
            <w:r>
              <w:rPr>
                <w:rFonts w:ascii="Arial Narrow" w:hAnsi="Arial Narrow" w:cs="Tahoma"/>
                <w:color w:val="000000"/>
                <w:sz w:val="18"/>
                <w:szCs w:val="17"/>
              </w:rPr>
              <w:t xml:space="preserve"> (intermediate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Appropriate for any gun court. Report the average number of different types of service or clinical treatment received by gun court participants. For example, if a participant received outpatient mental health treatment, transportation services, and literacy counseling, that would count as three services. But, for example, if a participant received medical treatment from two different providers or on two different occasions that would count as one treatment unless the treatment was for different conditions (e.g., a broken leg and a pregnancy).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Average number of types of service received per client</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days of youth enrollment in the gun court</w:t>
            </w:r>
            <w:r>
              <w:rPr>
                <w:rFonts w:ascii="Arial Narrow" w:hAnsi="Arial Narrow" w:cs="Tahoma"/>
                <w:color w:val="000000"/>
                <w:sz w:val="18"/>
                <w:szCs w:val="17"/>
              </w:rPr>
              <w:t xml:space="preserve"> (intermediate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youth accountability. Appropriate for any gun court. Report the average number of calendar days that youth enroll in the gun court. Enrollment includes things like signing a participation agreement, assignment of a gun court case specialist, or appearing before a gun court judge. Include active enrollment, not days on court rolls but where youth cannot be located or are otherwise non-participants (e.g., have moved out of the jurisdiction, but the paperwork to close the case has not been processed).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Average number of days of court enrollment per youth</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youth to successfully complete treatment/services referred to as part of the gun court</w:t>
            </w:r>
            <w:r>
              <w:rPr>
                <w:rFonts w:ascii="Arial Narrow" w:hAnsi="Arial Narrow" w:cs="Tahoma"/>
                <w:color w:val="000000"/>
                <w:sz w:val="18"/>
                <w:szCs w:val="17"/>
              </w:rPr>
              <w:t xml:space="preserve"> (intermediate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well-operated gun courts with appropriate resources will have higher rates of treatment/service completion than would poor-quality programs. Appropriate for any gun court. Report the raw number of youth that successfully complete all of the treatment and service programs that they enter as part of the gun court. Percent is the raw number divided by the total number of youth to enter at least one service or treatment through the gun court.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youth to successfully complete their treatment/service requirements</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youth enrolled in treatment/service</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youth to successfully complete their gun court requirements</w:t>
            </w:r>
            <w:r>
              <w:rPr>
                <w:rFonts w:ascii="Arial Narrow" w:hAnsi="Arial Narrow" w:cs="Tahoma"/>
                <w:color w:val="000000"/>
                <w:sz w:val="18"/>
                <w:szCs w:val="17"/>
              </w:rPr>
              <w:t xml:space="preserve"> (intermediate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well-operated gun courts with appropriate resources will have higher rates of completion than would poor-quality programs. Appropriate for any gun court. Report the raw number of youth that successfully complete all of their gun court requirements (service, treatment, and legal). Percent is the raw number divided by the total number of youth to enroll in the gun court. Enrollment includes things like signing a participation agreement, assignment of a gun court case specialist, or appearing before a gun court judge. "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youth to successfully complete their gun court requirements</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youth to exit the gun court</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Cost savings per case</w:t>
            </w:r>
            <w:r>
              <w:rPr>
                <w:rFonts w:ascii="Arial Narrow" w:hAnsi="Arial Narrow" w:cs="Tahoma"/>
                <w:color w:val="000000"/>
                <w:sz w:val="18"/>
                <w:szCs w:val="17"/>
              </w:rPr>
              <w:t xml:space="preserve"> (intermediate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efficiency. Appropriate for any gun court. Report the average cost in dollars to adjudicate a youth through the gun court subtracted from the average cost for adjudication of equivalent cases by the regular court.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Average cost per gun court case</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Average cost per equivalent non-gun court case</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Cost savings (b-a)</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court appearances missed by gun court participants</w:t>
            </w:r>
            <w:r>
              <w:rPr>
                <w:rFonts w:ascii="Arial Narrow" w:hAnsi="Arial Narrow" w:cs="Tahoma"/>
                <w:color w:val="000000"/>
                <w:sz w:val="18"/>
                <w:szCs w:val="17"/>
              </w:rPr>
              <w:t xml:space="preserve"> (intermediate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youth accountability. Appropriate for any gun court. Report the raw number of court appearances missed by gun court participants. Percent is the raw number divided by the total number of court appearances scheduled.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missed court appearances</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appointments</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r w:rsidR="007C7568" w:rsidRPr="00496B95" w:rsidTr="003102F2">
        <w:trPr>
          <w:cantSplit/>
        </w:trPr>
        <w:tc>
          <w:tcPr>
            <w:tcW w:w="355" w:type="dxa"/>
          </w:tcPr>
          <w:p w:rsidR="007C7568" w:rsidRPr="00CB717F" w:rsidRDefault="007C7568" w:rsidP="00CB717F">
            <w:pPr>
              <w:pStyle w:val="ListParagraph"/>
              <w:keepLines/>
              <w:numPr>
                <w:ilvl w:val="0"/>
                <w:numId w:val="10"/>
              </w:numPr>
              <w:spacing w:after="0" w:line="240" w:lineRule="auto"/>
              <w:rPr>
                <w:rFonts w:ascii="Arial Narrow" w:hAnsi="Arial Narrow" w:cs="Tahoma"/>
                <w:color w:val="000000"/>
                <w:sz w:val="18"/>
                <w:szCs w:val="17"/>
              </w:rPr>
            </w:pPr>
          </w:p>
        </w:tc>
        <w:tc>
          <w:tcPr>
            <w:tcW w:w="2153"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gun court participants for whom a bench warrant is issued</w:t>
            </w:r>
            <w:r>
              <w:rPr>
                <w:rFonts w:ascii="Arial Narrow" w:hAnsi="Arial Narrow" w:cs="Tahoma"/>
                <w:color w:val="000000"/>
                <w:sz w:val="18"/>
                <w:szCs w:val="17"/>
              </w:rPr>
              <w:t xml:space="preserve"> (intermediate term)</w:t>
            </w:r>
          </w:p>
        </w:tc>
        <w:tc>
          <w:tcPr>
            <w:tcW w:w="4417" w:type="dxa"/>
          </w:tcPr>
          <w:p w:rsidR="007C7568" w:rsidRDefault="007C7568"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Appropriate for any gun court. Report the raw number of gun court participants to be issued a bench warrant. Percent is the raw number divided by the number of gun court participants enrolled during any part of the reporting period. </w:t>
            </w:r>
          </w:p>
        </w:tc>
        <w:tc>
          <w:tcPr>
            <w:tcW w:w="2519" w:type="dxa"/>
          </w:tcPr>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participants issued a bench warrant</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participants</w:t>
            </w:r>
          </w:p>
          <w:p w:rsidR="007C7568" w:rsidRDefault="007C7568" w:rsidP="00293CED">
            <w:pPr>
              <w:keepLines/>
              <w:tabs>
                <w:tab w:val="left" w:pos="207"/>
              </w:tabs>
              <w:spacing w:after="0" w:line="240" w:lineRule="auto"/>
              <w:ind w:left="195" w:hanging="172"/>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7C7568" w:rsidRDefault="007C7568" w:rsidP="00293CED">
            <w:pPr>
              <w:keepLines/>
              <w:spacing w:after="0" w:line="240" w:lineRule="auto"/>
              <w:rPr>
                <w:rFonts w:ascii="Arial Narrow" w:hAnsi="Arial Narrow" w:cs="Tahoma"/>
                <w:color w:val="000000"/>
                <w:sz w:val="18"/>
                <w:szCs w:val="17"/>
              </w:rPr>
            </w:pPr>
          </w:p>
        </w:tc>
        <w:tc>
          <w:tcPr>
            <w:tcW w:w="1531" w:type="dxa"/>
          </w:tcPr>
          <w:p w:rsidR="007C7568" w:rsidRDefault="007C7568" w:rsidP="00293CED">
            <w:pPr>
              <w:keepLines/>
              <w:spacing w:after="0" w:line="240" w:lineRule="auto"/>
              <w:rPr>
                <w:rFonts w:ascii="Arial Narrow" w:hAnsi="Arial Narrow" w:cs="Tahoma"/>
                <w:color w:val="000000"/>
                <w:sz w:val="18"/>
                <w:szCs w:val="17"/>
              </w:rPr>
            </w:pPr>
          </w:p>
        </w:tc>
      </w:tr>
    </w:tbl>
    <w:p w:rsidR="007C7568" w:rsidRDefault="007C7568"/>
    <w:sectPr w:rsidR="007C7568" w:rsidSect="007C7568">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7E75" w:rsidRDefault="00A17E75" w:rsidP="007C7568">
      <w:pPr>
        <w:spacing w:after="0" w:line="240" w:lineRule="auto"/>
      </w:pPr>
      <w:r>
        <w:separator/>
      </w:r>
    </w:p>
  </w:endnote>
  <w:endnote w:type="continuationSeparator" w:id="0">
    <w:p w:rsidR="00A17E75" w:rsidRDefault="00A17E75" w:rsidP="007C7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749665"/>
      <w:docPartObj>
        <w:docPartGallery w:val="Page Numbers (Bottom of Page)"/>
        <w:docPartUnique/>
      </w:docPartObj>
    </w:sdtPr>
    <w:sdtEndPr>
      <w:rPr>
        <w:noProof/>
      </w:rPr>
    </w:sdtEndPr>
    <w:sdtContent>
      <w:p w:rsidR="00CB717F" w:rsidRDefault="00CB717F" w:rsidP="007C7541">
        <w:pPr>
          <w:pStyle w:val="Footer"/>
          <w:jc w:val="right"/>
        </w:pPr>
        <w:r>
          <w:fldChar w:fldCharType="begin"/>
        </w:r>
        <w:r>
          <w:instrText xml:space="preserve"> PAGE   \* MERGEFORMAT </w:instrText>
        </w:r>
        <w:r>
          <w:fldChar w:fldCharType="separate"/>
        </w:r>
        <w:r w:rsidR="007C754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7E75" w:rsidRDefault="00A17E75" w:rsidP="007C7568">
      <w:pPr>
        <w:spacing w:after="0" w:line="240" w:lineRule="auto"/>
      </w:pPr>
      <w:r>
        <w:separator/>
      </w:r>
    </w:p>
  </w:footnote>
  <w:footnote w:type="continuationSeparator" w:id="0">
    <w:p w:rsidR="00A17E75" w:rsidRDefault="00A17E75" w:rsidP="007C7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568" w:rsidRPr="008776B6" w:rsidRDefault="007C7568" w:rsidP="007C7568">
    <w:pPr>
      <w:pStyle w:val="Heading1"/>
      <w:spacing w:before="0" w:after="0"/>
      <w:rPr>
        <w:color w:val="auto"/>
      </w:rPr>
    </w:pPr>
    <w:r w:rsidRPr="008776B6">
      <w:rPr>
        <w:color w:val="auto"/>
      </w:rPr>
      <w:t>Office of Juvenile Justice and Delinquency Prevention</w:t>
    </w:r>
  </w:p>
  <w:p w:rsidR="007C7568" w:rsidRPr="00195C88" w:rsidRDefault="007C7568" w:rsidP="007C7568">
    <w:pPr>
      <w:pStyle w:val="Heading1"/>
      <w:spacing w:before="100"/>
      <w:rPr>
        <w:rStyle w:val="instructions1"/>
        <w:rFonts w:cs="Arial"/>
        <w:bCs/>
      </w:rPr>
    </w:pPr>
    <w:r w:rsidRPr="00195C88">
      <w:rPr>
        <w:rStyle w:val="instructions1"/>
        <w:rFonts w:cs="Arial"/>
        <w:bCs/>
      </w:rPr>
      <w:t>Tribal Juvenile Accountability Discretionary Grant Program (T-JADG)</w:t>
    </w:r>
  </w:p>
  <w:p w:rsidR="007C7568" w:rsidRPr="007C7568" w:rsidRDefault="007C7568" w:rsidP="007C7568">
    <w:pPr>
      <w:pStyle w:val="Heading1"/>
      <w:spacing w:after="100"/>
      <w:rPr>
        <w:color w:val="auto"/>
      </w:rPr>
    </w:pPr>
    <w:r w:rsidRPr="00812783">
      <w:rPr>
        <w:color w:val="auto"/>
      </w:rPr>
      <w:t>Gun Courts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B599D"/>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E1B03"/>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 w15:restartNumberingAfterBreak="0">
    <w:nsid w:val="128412DE"/>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B1966"/>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A737C"/>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 w15:restartNumberingAfterBreak="0">
    <w:nsid w:val="2A983BC8"/>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9C6EE7"/>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4868DF"/>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8" w15:restartNumberingAfterBreak="0">
    <w:nsid w:val="3E1F72B0"/>
    <w:multiLevelType w:val="hybridMultilevel"/>
    <w:tmpl w:val="CAC466CA"/>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ABC2E31"/>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0" w15:restartNumberingAfterBreak="0">
    <w:nsid w:val="6B1374F6"/>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 w15:restartNumberingAfterBreak="0">
    <w:nsid w:val="761561AE"/>
    <w:multiLevelType w:val="hybridMultilevel"/>
    <w:tmpl w:val="3D9601B8"/>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7"/>
  </w:num>
  <w:num w:numId="3">
    <w:abstractNumId w:val="4"/>
  </w:num>
  <w:num w:numId="4">
    <w:abstractNumId w:val="1"/>
  </w:num>
  <w:num w:numId="5">
    <w:abstractNumId w:val="10"/>
  </w:num>
  <w:num w:numId="6">
    <w:abstractNumId w:val="5"/>
  </w:num>
  <w:num w:numId="7">
    <w:abstractNumId w:val="3"/>
  </w:num>
  <w:num w:numId="8">
    <w:abstractNumId w:val="2"/>
  </w:num>
  <w:num w:numId="9">
    <w:abstractNumId w:val="6"/>
  </w:num>
  <w:num w:numId="10">
    <w:abstractNumId w:val="8"/>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7568"/>
    <w:rsid w:val="001B347A"/>
    <w:rsid w:val="003102F2"/>
    <w:rsid w:val="003E1F58"/>
    <w:rsid w:val="00794F3F"/>
    <w:rsid w:val="007C7541"/>
    <w:rsid w:val="007C7568"/>
    <w:rsid w:val="007F62EE"/>
    <w:rsid w:val="00A17E75"/>
    <w:rsid w:val="00CB7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7200D9-E50D-477F-85C1-879DFEFA3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7568"/>
  </w:style>
  <w:style w:type="paragraph" w:styleId="Heading1">
    <w:name w:val="heading 1"/>
    <w:basedOn w:val="Normal"/>
    <w:next w:val="BodyText"/>
    <w:link w:val="Heading1Char"/>
    <w:qFormat/>
    <w:rsid w:val="007C7568"/>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7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568"/>
  </w:style>
  <w:style w:type="paragraph" w:styleId="Footer">
    <w:name w:val="footer"/>
    <w:basedOn w:val="Normal"/>
    <w:link w:val="FooterChar"/>
    <w:uiPriority w:val="99"/>
    <w:unhideWhenUsed/>
    <w:rsid w:val="007C7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568"/>
  </w:style>
  <w:style w:type="character" w:customStyle="1" w:styleId="Heading1Char">
    <w:name w:val="Heading 1 Char"/>
    <w:basedOn w:val="DefaultParagraphFont"/>
    <w:link w:val="Heading1"/>
    <w:rsid w:val="007C7568"/>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7C7568"/>
  </w:style>
  <w:style w:type="paragraph" w:styleId="BodyText">
    <w:name w:val="Body Text"/>
    <w:basedOn w:val="Normal"/>
    <w:link w:val="BodyTextChar"/>
    <w:uiPriority w:val="99"/>
    <w:semiHidden/>
    <w:unhideWhenUsed/>
    <w:rsid w:val="007C7568"/>
    <w:pPr>
      <w:spacing w:after="120"/>
    </w:pPr>
  </w:style>
  <w:style w:type="character" w:customStyle="1" w:styleId="BodyTextChar">
    <w:name w:val="Body Text Char"/>
    <w:basedOn w:val="DefaultParagraphFont"/>
    <w:link w:val="BodyText"/>
    <w:uiPriority w:val="99"/>
    <w:semiHidden/>
    <w:rsid w:val="007C7568"/>
  </w:style>
  <w:style w:type="character" w:styleId="Strong">
    <w:name w:val="Strong"/>
    <w:qFormat/>
    <w:rsid w:val="007C7568"/>
    <w:rPr>
      <w:b/>
      <w:bCs/>
    </w:rPr>
  </w:style>
  <w:style w:type="paragraph" w:styleId="ListParagraph">
    <w:name w:val="List Paragraph"/>
    <w:basedOn w:val="Normal"/>
    <w:uiPriority w:val="34"/>
    <w:qFormat/>
    <w:rsid w:val="007C75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2952</Words>
  <Characters>16831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2021-08-11T20:47:00Z</dcterms:created>
  <dcterms:modified xsi:type="dcterms:W3CDTF">2021-08-11T20:47:00Z</dcterms:modified>
</cp:coreProperties>
</file>