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1995"/>
        <w:gridCol w:w="4123"/>
        <w:gridCol w:w="2702"/>
        <w:gridCol w:w="1625"/>
      </w:tblGrid>
      <w:tr w:rsidR="00F76602" w:rsidRPr="00636FE4" w:rsidTr="0047673A">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bookmarkStart w:id="0" w:name="_GoBack"/>
            <w:bookmarkEnd w:id="0"/>
            <w:r w:rsidRPr="0047673A">
              <w:rPr>
                <w:rStyle w:val="Strong"/>
                <w:rFonts w:ascii="Arial Narrow Bold" w:hAnsi="Arial Narrow Bold" w:cs="Tahoma"/>
                <w:color w:val="FFFFFF"/>
                <w:sz w:val="20"/>
                <w:szCs w:val="20"/>
              </w:rPr>
              <w:t>#</w:t>
            </w:r>
          </w:p>
        </w:tc>
        <w:tc>
          <w:tcPr>
            <w:tcW w:w="1995" w:type="dxa"/>
            <w:tcBorders>
              <w:top w:val="single" w:sz="8" w:space="0" w:color="auto"/>
              <w:left w:val="single" w:sz="6" w:space="0" w:color="FFFFFF"/>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Output Measure</w:t>
            </w:r>
          </w:p>
        </w:tc>
        <w:tc>
          <w:tcPr>
            <w:tcW w:w="4123" w:type="dxa"/>
            <w:tcBorders>
              <w:top w:val="single" w:sz="8" w:space="0" w:color="auto"/>
              <w:left w:val="single" w:sz="6" w:space="0" w:color="FFFFFF"/>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Definition</w:t>
            </w:r>
          </w:p>
        </w:tc>
        <w:tc>
          <w:tcPr>
            <w:tcW w:w="2702"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Data Grantee Provides</w:t>
            </w:r>
          </w:p>
        </w:tc>
        <w:tc>
          <w:tcPr>
            <w:tcW w:w="1625" w:type="dxa"/>
            <w:tcBorders>
              <w:top w:val="single" w:sz="8" w:space="0" w:color="auto"/>
              <w:left w:val="single" w:sz="6" w:space="0" w:color="FFFFFF"/>
              <w:bottom w:val="single" w:sz="6" w:space="0" w:color="000000"/>
              <w:right w:val="single" w:sz="8" w:space="0" w:color="auto"/>
            </w:tcBorders>
            <w:shd w:val="clear" w:color="auto" w:fill="003366"/>
          </w:tcPr>
          <w:p w:rsidR="00F76602" w:rsidRPr="0047673A" w:rsidRDefault="00F76602" w:rsidP="00293CED">
            <w:pPr>
              <w:keepLines/>
              <w:spacing w:after="0" w:line="240" w:lineRule="auto"/>
              <w:rPr>
                <w:rStyle w:val="Strong"/>
                <w:rFonts w:ascii="Arial Narrow Bold" w:hAnsi="Arial Narrow Bold" w:cs="Tahoma"/>
                <w:color w:val="FFFFFF"/>
                <w:sz w:val="20"/>
                <w:szCs w:val="20"/>
              </w:rPr>
            </w:pPr>
            <w:r w:rsidRPr="0047673A">
              <w:rPr>
                <w:rStyle w:val="Strong"/>
                <w:rFonts w:ascii="Arial Narrow Bold" w:hAnsi="Arial Narrow Bold" w:cs="Tahoma"/>
                <w:color w:val="FFFFFF"/>
                <w:sz w:val="20"/>
                <w:szCs w:val="20"/>
              </w:rPr>
              <w:t>Record Data Here</w:t>
            </w: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different restorative justice programs implemented</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program implementation. Appropriate for grantees that administer more than one restorative justice program. Report the maximum number of different restorative justice programs in operation simultaneously. Different implies that the programs either employ different techniques or activities, target different populations, or have different goals </w:t>
            </w:r>
          </w:p>
        </w:tc>
        <w:tc>
          <w:tcPr>
            <w:tcW w:w="2702"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different restorative justice programs in operation</w:t>
            </w:r>
          </w:p>
          <w:p w:rsidR="00F76602" w:rsidRDefault="00F76602" w:rsidP="0047673A">
            <w:pPr>
              <w:keepLines/>
              <w:spacing w:after="0" w:line="240" w:lineRule="auto"/>
              <w:ind w:left="243" w:hanging="220"/>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47673A">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youth to participate in any of the following events: victim offender mediation/</w:t>
            </w:r>
            <w:r w:rsidR="0047673A">
              <w:rPr>
                <w:rFonts w:ascii="Arial Narrow" w:hAnsi="Arial Narrow" w:cs="Tahoma"/>
                <w:color w:val="000000"/>
                <w:sz w:val="18"/>
                <w:szCs w:val="17"/>
              </w:rPr>
              <w:t xml:space="preserve"> </w:t>
            </w:r>
            <w:r w:rsidRPr="00530BD8">
              <w:rPr>
                <w:rFonts w:ascii="Arial Narrow" w:hAnsi="Arial Narrow" w:cs="Tahoma"/>
                <w:color w:val="000000"/>
                <w:sz w:val="18"/>
                <w:szCs w:val="17"/>
              </w:rPr>
              <w:t>dialogue;</w:t>
            </w:r>
            <w:r w:rsidR="0047673A">
              <w:rPr>
                <w:rFonts w:ascii="Arial Narrow" w:hAnsi="Arial Narrow" w:cs="Tahoma"/>
                <w:color w:val="000000"/>
                <w:sz w:val="18"/>
                <w:szCs w:val="17"/>
              </w:rPr>
              <w:t xml:space="preserve"> </w:t>
            </w:r>
            <w:r w:rsidRPr="00530BD8">
              <w:rPr>
                <w:rFonts w:ascii="Arial Narrow" w:hAnsi="Arial Narrow" w:cs="Tahoma"/>
                <w:color w:val="000000"/>
                <w:sz w:val="18"/>
                <w:szCs w:val="17"/>
              </w:rPr>
              <w:t>family group conferencing; peacemaking circles; restitution; personal services to victims; community service; apologies; victim/</w:t>
            </w:r>
            <w:r w:rsidR="0047673A">
              <w:rPr>
                <w:rFonts w:ascii="Arial Narrow" w:hAnsi="Arial Narrow" w:cs="Tahoma"/>
                <w:color w:val="000000"/>
                <w:sz w:val="18"/>
                <w:szCs w:val="17"/>
              </w:rPr>
              <w:t xml:space="preserve"> </w:t>
            </w:r>
            <w:r w:rsidRPr="00530BD8">
              <w:rPr>
                <w:rFonts w:ascii="Arial Narrow" w:hAnsi="Arial Narrow" w:cs="Tahoma"/>
                <w:color w:val="000000"/>
                <w:sz w:val="18"/>
                <w:szCs w:val="17"/>
              </w:rPr>
              <w:t>community impact panels; community/neighborhood impact statements;</w:t>
            </w:r>
            <w:r w:rsidR="0047673A">
              <w:rPr>
                <w:rFonts w:ascii="Arial Narrow" w:hAnsi="Arial Narrow" w:cs="Tahoma"/>
                <w:color w:val="000000"/>
                <w:sz w:val="18"/>
                <w:szCs w:val="17"/>
              </w:rPr>
              <w:t xml:space="preserve"> </w:t>
            </w:r>
            <w:r w:rsidRPr="00530BD8">
              <w:rPr>
                <w:rFonts w:ascii="Arial Narrow" w:hAnsi="Arial Narrow" w:cs="Tahoma"/>
                <w:color w:val="000000"/>
                <w:sz w:val="18"/>
                <w:szCs w:val="17"/>
              </w:rPr>
              <w:t>victim empathy</w:t>
            </w:r>
            <w:r w:rsidR="0047673A">
              <w:rPr>
                <w:rFonts w:ascii="Arial Narrow" w:hAnsi="Arial Narrow" w:cs="Tahoma"/>
                <w:color w:val="000000"/>
                <w:sz w:val="18"/>
                <w:szCs w:val="17"/>
              </w:rPr>
              <w:t xml:space="preserve"> </w:t>
            </w:r>
            <w:r w:rsidRPr="00530BD8">
              <w:rPr>
                <w:rFonts w:ascii="Arial Narrow" w:hAnsi="Arial Narrow" w:cs="Tahoma"/>
                <w:color w:val="000000"/>
                <w:sz w:val="18"/>
                <w:szCs w:val="17"/>
              </w:rPr>
              <w:t>groups/classes</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program operation. Appropriate for most restorative justice programs. Report the raw number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 Percent is the raw number divided by the number of youth served by the slots </w:t>
            </w:r>
          </w:p>
        </w:tc>
        <w:tc>
          <w:tcPr>
            <w:tcW w:w="2702"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youth to participate in any of the listed events:</w:t>
            </w:r>
          </w:p>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youth served by grantee:</w:t>
            </w:r>
          </w:p>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43" w:hanging="220"/>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Amount of funds allocated to restorative justice programming</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the distribution of the money. Appropriate for any project paying for restorative justice programming. Report the raw dollar amount of JABG/Tribal JADG funds spent on restorative justice programming. </w:t>
            </w:r>
          </w:p>
        </w:tc>
        <w:tc>
          <w:tcPr>
            <w:tcW w:w="2702"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dollars spent on restorative justice programming</w:t>
            </w:r>
          </w:p>
          <w:p w:rsidR="00F76602" w:rsidRDefault="00F76602" w:rsidP="0047673A">
            <w:pPr>
              <w:keepLines/>
              <w:spacing w:after="0" w:line="240" w:lineRule="auto"/>
              <w:ind w:left="243" w:hanging="220"/>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restorative justice program slots</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restorative justice programming. Report the raw number of restorative justice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 </w:t>
            </w:r>
          </w:p>
        </w:tc>
        <w:tc>
          <w:tcPr>
            <w:tcW w:w="2702"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restorative justice slots</w:t>
            </w:r>
          </w:p>
          <w:p w:rsidR="00F76602" w:rsidRDefault="00F76602" w:rsidP="0047673A">
            <w:pPr>
              <w:keepLines/>
              <w:spacing w:after="0" w:line="240" w:lineRule="auto"/>
              <w:ind w:left="243" w:hanging="220"/>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hours of restorative justice training offered to justice staff by type (orientation, continuing education, cross training with community-based organizations)</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infrastructure. Appropriate for programs whose staff offer restorative justice programming. Report the raw number of hours of training offered about restorative justice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702"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hours of orientation training offered</w:t>
            </w:r>
          </w:p>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hours of continuing education training offered</w:t>
            </w:r>
          </w:p>
          <w:p w:rsidR="00F76602" w:rsidRDefault="00F76602" w:rsidP="0047673A">
            <w:pPr>
              <w:keepLine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Number of hours of cross training offered</w:t>
            </w:r>
          </w:p>
          <w:p w:rsidR="00F76602" w:rsidRDefault="00F76602" w:rsidP="0047673A">
            <w:pPr>
              <w:keepLines/>
              <w:spacing w:after="0" w:line="240" w:lineRule="auto"/>
              <w:ind w:left="243" w:hanging="220"/>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hours of community outreach about restorative justice programming</w:t>
            </w:r>
          </w:p>
        </w:tc>
        <w:tc>
          <w:tcPr>
            <w:tcW w:w="4123"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infrastructure. Appropriate for programs that offer or promote restorative justice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2702" w:type="dxa"/>
            <w:tcBorders>
              <w:top w:val="single" w:sz="6" w:space="0" w:color="000000"/>
              <w:bottom w:val="single" w:sz="6" w:space="0" w:color="000000"/>
              <w:right w:val="single" w:sz="6" w:space="0" w:color="000000"/>
            </w:tcBorders>
          </w:tcPr>
          <w:p w:rsidR="00F76602" w:rsidRDefault="00F76602" w:rsidP="00293CED">
            <w:pPr>
              <w:keepLines/>
              <w:tabs>
                <w:tab w:val="left" w:pos="193"/>
              </w:tabs>
              <w:spacing w:after="0" w:line="240" w:lineRule="auto"/>
              <w:ind w:left="243" w:hanging="220"/>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hours of community outreach about restorative justice programming</w:t>
            </w:r>
          </w:p>
          <w:p w:rsidR="00F76602" w:rsidRDefault="00F76602" w:rsidP="00293CED">
            <w:pPr>
              <w:keepLines/>
              <w:spacing w:after="0" w:line="240" w:lineRule="auto"/>
              <w:rPr>
                <w:rFonts w:ascii="Arial Narrow" w:hAnsi="Arial Narrow" w:cs="Tahoma"/>
                <w:color w:val="000000"/>
                <w:sz w:val="18"/>
                <w:szCs w:val="17"/>
              </w:rPr>
            </w:pP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F76602" w:rsidRPr="001A1B8D" w:rsidRDefault="00F76602" w:rsidP="00293CED">
            <w:pPr>
              <w:keepLines/>
              <w:spacing w:after="0" w:line="218" w:lineRule="atLeast"/>
              <w:rPr>
                <w:rFonts w:ascii="Arial Narrow" w:hAnsi="Arial Narrow" w:cs="Tahoma"/>
                <w:color w:val="000000"/>
                <w:sz w:val="18"/>
                <w:szCs w:val="17"/>
              </w:rPr>
            </w:pPr>
          </w:p>
        </w:tc>
        <w:tc>
          <w:tcPr>
            <w:tcW w:w="4123" w:type="dxa"/>
            <w:tcBorders>
              <w:top w:val="single" w:sz="6" w:space="0" w:color="000000"/>
              <w:bottom w:val="single" w:sz="6" w:space="0" w:color="000000"/>
              <w:right w:val="single" w:sz="6" w:space="0" w:color="000000"/>
            </w:tcBorders>
          </w:tcPr>
          <w:p w:rsidR="00F76602" w:rsidRPr="001A1B8D" w:rsidRDefault="00F7660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2" w:type="dxa"/>
            <w:tcBorders>
              <w:top w:val="single" w:sz="6" w:space="0" w:color="000000"/>
              <w:bottom w:val="single" w:sz="6" w:space="0" w:color="000000"/>
              <w:right w:val="single" w:sz="6" w:space="0" w:color="000000"/>
            </w:tcBorders>
          </w:tcPr>
          <w:p w:rsidR="00F76602" w:rsidRPr="004211A8" w:rsidRDefault="00F76602" w:rsidP="0047673A">
            <w:pPr>
              <w:pStyle w:val="ListParagraph"/>
              <w:keepLines/>
              <w:numPr>
                <w:ilvl w:val="0"/>
                <w:numId w:val="2"/>
              </w:numPr>
              <w:spacing w:after="0"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Pr="0047673A" w:rsidRDefault="00F76602" w:rsidP="0047673A">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123" w:type="dxa"/>
            <w:tcBorders>
              <w:top w:val="single" w:sz="6" w:space="0" w:color="000000"/>
              <w:bottom w:val="single" w:sz="6" w:space="0" w:color="000000"/>
              <w:right w:val="single" w:sz="6" w:space="0" w:color="000000"/>
            </w:tcBorders>
          </w:tcPr>
          <w:p w:rsidR="00F76602" w:rsidRPr="001A1B8D" w:rsidRDefault="00F7660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2" w:type="dxa"/>
            <w:tcBorders>
              <w:top w:val="single" w:sz="6" w:space="0" w:color="000000"/>
              <w:bottom w:val="single" w:sz="6" w:space="0" w:color="000000"/>
              <w:right w:val="single" w:sz="6" w:space="0" w:color="000000"/>
            </w:tcBorders>
          </w:tcPr>
          <w:p w:rsidR="00F76602" w:rsidRPr="004211A8" w:rsidRDefault="00F76602" w:rsidP="0047673A">
            <w:pPr>
              <w:pStyle w:val="ListParagraph"/>
              <w:keepLines/>
              <w:numPr>
                <w:ilvl w:val="0"/>
                <w:numId w:val="3"/>
              </w:numPr>
              <w:spacing w:after="0"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Pr="0033348B" w:rsidRDefault="00F76602"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123" w:type="dxa"/>
            <w:tcBorders>
              <w:top w:val="single" w:sz="6" w:space="0" w:color="000000"/>
              <w:bottom w:val="single" w:sz="6" w:space="0" w:color="000000"/>
              <w:right w:val="single" w:sz="6" w:space="0" w:color="000000"/>
            </w:tcBorders>
          </w:tcPr>
          <w:p w:rsidR="00F76602" w:rsidRPr="0033348B" w:rsidRDefault="00F76602"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sidR="0047673A">
              <w:rPr>
                <w:rFonts w:ascii="Arial Narrow" w:hAnsi="Arial Narrow" w:cs="Tahoma"/>
                <w:sz w:val="18"/>
                <w:szCs w:val="18"/>
              </w:rPr>
              <w:t>.</w:t>
            </w:r>
          </w:p>
        </w:tc>
        <w:tc>
          <w:tcPr>
            <w:tcW w:w="2702" w:type="dxa"/>
            <w:tcBorders>
              <w:top w:val="single" w:sz="6" w:space="0" w:color="000000"/>
              <w:bottom w:val="single" w:sz="6" w:space="0" w:color="000000"/>
              <w:right w:val="single" w:sz="6" w:space="0" w:color="000000"/>
            </w:tcBorders>
          </w:tcPr>
          <w:p w:rsidR="00F76602" w:rsidRPr="0033348B" w:rsidRDefault="00F76602" w:rsidP="0047673A">
            <w:pPr>
              <w:pStyle w:val="ListParagraph"/>
              <w:keepLines/>
              <w:numPr>
                <w:ilvl w:val="0"/>
                <w:numId w:val="4"/>
              </w:numPr>
              <w:spacing w:after="0" w:line="218" w:lineRule="atLeast"/>
              <w:ind w:left="240" w:hanging="240"/>
              <w:rPr>
                <w:rFonts w:ascii="Arial Narrow" w:hAnsi="Arial Narrow" w:cs="Tahoma"/>
                <w:sz w:val="18"/>
                <w:szCs w:val="18"/>
              </w:rPr>
            </w:pPr>
            <w:r w:rsidRPr="007F4E33">
              <w:rPr>
                <w:rFonts w:ascii="Arial Narrow" w:hAnsi="Arial Narrow" w:cs="Tahoma"/>
                <w:sz w:val="18"/>
                <w:szCs w:val="18"/>
              </w:rPr>
              <w:t>Number of program materials developed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Pr="0040497B" w:rsidRDefault="00F76602"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123" w:type="dxa"/>
            <w:tcBorders>
              <w:top w:val="single" w:sz="6" w:space="0" w:color="000000"/>
              <w:bottom w:val="single" w:sz="6" w:space="0" w:color="000000"/>
              <w:right w:val="single" w:sz="6" w:space="0" w:color="000000"/>
            </w:tcBorders>
          </w:tcPr>
          <w:p w:rsidR="00F76602" w:rsidRPr="0040497B" w:rsidRDefault="00F76602"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2" w:type="dxa"/>
            <w:tcBorders>
              <w:top w:val="single" w:sz="6" w:space="0" w:color="000000"/>
              <w:bottom w:val="single" w:sz="6" w:space="0" w:color="000000"/>
              <w:right w:val="single" w:sz="6" w:space="0" w:color="000000"/>
            </w:tcBorders>
          </w:tcPr>
          <w:p w:rsidR="00F76602" w:rsidRPr="004211A8" w:rsidRDefault="00F76602" w:rsidP="0047673A">
            <w:pPr>
              <w:pStyle w:val="ListParagraph"/>
              <w:keepLines/>
              <w:numPr>
                <w:ilvl w:val="0"/>
                <w:numId w:val="5"/>
              </w:numPr>
              <w:spacing w:after="0" w:line="218" w:lineRule="atLeast"/>
              <w:ind w:left="240" w:hanging="24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Pr="0033348B" w:rsidRDefault="00F76602"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123" w:type="dxa"/>
            <w:tcBorders>
              <w:top w:val="single" w:sz="6" w:space="0" w:color="000000"/>
              <w:bottom w:val="single" w:sz="6" w:space="0" w:color="000000"/>
              <w:right w:val="single" w:sz="6" w:space="0" w:color="000000"/>
            </w:tcBorders>
          </w:tcPr>
          <w:p w:rsidR="00F76602" w:rsidRPr="0033348B" w:rsidRDefault="00F76602"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2" w:type="dxa"/>
            <w:tcBorders>
              <w:top w:val="single" w:sz="6" w:space="0" w:color="000000"/>
              <w:bottom w:val="single" w:sz="6" w:space="0" w:color="000000"/>
              <w:right w:val="single" w:sz="6" w:space="0" w:color="000000"/>
            </w:tcBorders>
          </w:tcPr>
          <w:p w:rsidR="00F76602" w:rsidRPr="0033348B" w:rsidRDefault="00F76602" w:rsidP="0047673A">
            <w:pPr>
              <w:pStyle w:val="ListParagraph"/>
              <w:keepLines/>
              <w:numPr>
                <w:ilvl w:val="0"/>
                <w:numId w:val="6"/>
              </w:numPr>
              <w:spacing w:after="0" w:line="218" w:lineRule="atLeast"/>
              <w:ind w:left="240" w:hanging="240"/>
              <w:rPr>
                <w:rFonts w:ascii="Arial Narrow" w:hAnsi="Arial Narrow" w:cs="Tahoma"/>
                <w:sz w:val="18"/>
                <w:szCs w:val="18"/>
              </w:rPr>
            </w:pPr>
            <w:r w:rsidRPr="00F54288">
              <w:rPr>
                <w:rFonts w:ascii="Arial Narrow" w:hAnsi="Arial Narrow" w:cs="Tahoma"/>
                <w:sz w:val="18"/>
                <w:szCs w:val="18"/>
              </w:rPr>
              <w:t>Number of people trained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F76602" w:rsidRPr="001A1B8D" w:rsidRDefault="00F76602" w:rsidP="00293CED">
            <w:pPr>
              <w:keepLines/>
              <w:spacing w:after="0" w:line="218" w:lineRule="atLeast"/>
              <w:rPr>
                <w:rFonts w:ascii="Arial Narrow" w:hAnsi="Arial Narrow" w:cs="Tahoma"/>
                <w:color w:val="000000"/>
                <w:sz w:val="18"/>
                <w:szCs w:val="17"/>
              </w:rPr>
            </w:pPr>
          </w:p>
        </w:tc>
        <w:tc>
          <w:tcPr>
            <w:tcW w:w="4123" w:type="dxa"/>
            <w:tcBorders>
              <w:top w:val="single" w:sz="6" w:space="0" w:color="000000"/>
              <w:bottom w:val="single" w:sz="6" w:space="0" w:color="000000"/>
              <w:right w:val="single" w:sz="6" w:space="0" w:color="000000"/>
            </w:tcBorders>
          </w:tcPr>
          <w:p w:rsidR="00F76602" w:rsidRPr="001A1B8D" w:rsidRDefault="00F76602"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2" w:type="dxa"/>
            <w:tcBorders>
              <w:top w:val="single" w:sz="6" w:space="0" w:color="000000"/>
              <w:bottom w:val="single" w:sz="6" w:space="0" w:color="000000"/>
              <w:right w:val="single" w:sz="6" w:space="0" w:color="000000"/>
            </w:tcBorders>
          </w:tcPr>
          <w:p w:rsidR="00F76602" w:rsidRPr="0040497B" w:rsidRDefault="00F76602" w:rsidP="0047673A">
            <w:pPr>
              <w:keepLines/>
              <w:numPr>
                <w:ilvl w:val="0"/>
                <w:numId w:val="7"/>
              </w:numPr>
              <w:tabs>
                <w:tab w:val="left" w:pos="288"/>
              </w:tabs>
              <w:spacing w:after="0" w:line="240" w:lineRule="auto"/>
              <w:ind w:left="240" w:hanging="24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F76602" w:rsidRPr="0040497B" w:rsidRDefault="00F76602" w:rsidP="0047673A">
            <w:pPr>
              <w:keepLines/>
              <w:numPr>
                <w:ilvl w:val="0"/>
                <w:numId w:val="7"/>
              </w:numPr>
              <w:tabs>
                <w:tab w:val="left" w:pos="288"/>
              </w:tabs>
              <w:spacing w:after="0" w:line="240" w:lineRule="auto"/>
              <w:ind w:left="240" w:hanging="240"/>
              <w:rPr>
                <w:rFonts w:ascii="Arial Narrow" w:hAnsi="Arial Narrow" w:cs="Tahoma"/>
                <w:sz w:val="18"/>
                <w:szCs w:val="18"/>
              </w:rPr>
            </w:pPr>
            <w:r w:rsidRPr="0040497B">
              <w:rPr>
                <w:rFonts w:ascii="Arial Narrow" w:hAnsi="Arial Narrow" w:cs="Tahoma"/>
                <w:sz w:val="18"/>
                <w:szCs w:val="18"/>
              </w:rPr>
              <w:t>Number of programs served by TTA</w:t>
            </w:r>
          </w:p>
          <w:p w:rsidR="00F76602" w:rsidRPr="0040497B" w:rsidRDefault="00F76602" w:rsidP="0047673A">
            <w:pPr>
              <w:keepLines/>
              <w:numPr>
                <w:ilvl w:val="0"/>
                <w:numId w:val="7"/>
              </w:numPr>
              <w:tabs>
                <w:tab w:val="left" w:pos="288"/>
              </w:tabs>
              <w:spacing w:after="0" w:line="240" w:lineRule="auto"/>
              <w:ind w:left="240" w:hanging="24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F76602" w:rsidRPr="00417A72" w:rsidRDefault="00F76602" w:rsidP="00293CED">
            <w:pPr>
              <w:keepLines/>
              <w:spacing w:after="0" w:line="240" w:lineRule="auto"/>
              <w:rPr>
                <w:rFonts w:ascii="Arial Narrow" w:hAnsi="Arial Narrow" w:cs="Tahoma"/>
                <w:bCs/>
                <w:sz w:val="18"/>
                <w:szCs w:val="18"/>
              </w:rPr>
            </w:pPr>
          </w:p>
        </w:tc>
        <w:tc>
          <w:tcPr>
            <w:tcW w:w="4123" w:type="dxa"/>
            <w:tcBorders>
              <w:top w:val="single" w:sz="6" w:space="0" w:color="000000"/>
              <w:bottom w:val="single" w:sz="6" w:space="0" w:color="000000"/>
              <w:right w:val="single" w:sz="6" w:space="0" w:color="000000"/>
            </w:tcBorders>
          </w:tcPr>
          <w:p w:rsidR="00F76602" w:rsidRPr="00417A72" w:rsidRDefault="00F76602"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02" w:type="dxa"/>
            <w:tcBorders>
              <w:top w:val="single" w:sz="6" w:space="0" w:color="000000"/>
              <w:bottom w:val="single" w:sz="6" w:space="0" w:color="000000"/>
              <w:right w:val="single" w:sz="6" w:space="0" w:color="000000"/>
            </w:tcBorders>
          </w:tcPr>
          <w:p w:rsidR="00F76602" w:rsidRPr="0040497B" w:rsidRDefault="00F76602" w:rsidP="0047673A">
            <w:pPr>
              <w:keepLines/>
              <w:numPr>
                <w:ilvl w:val="0"/>
                <w:numId w:val="8"/>
              </w:numPr>
              <w:tabs>
                <w:tab w:val="left" w:pos="285"/>
              </w:tabs>
              <w:spacing w:after="0" w:line="240" w:lineRule="auto"/>
              <w:ind w:left="240" w:hanging="24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F76602" w:rsidRPr="0040497B" w:rsidRDefault="00F76602" w:rsidP="0047673A">
            <w:pPr>
              <w:keepLines/>
              <w:numPr>
                <w:ilvl w:val="0"/>
                <w:numId w:val="8"/>
              </w:numPr>
              <w:tabs>
                <w:tab w:val="left" w:pos="288"/>
              </w:tabs>
              <w:spacing w:after="0" w:line="240" w:lineRule="auto"/>
              <w:ind w:left="240" w:hanging="24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Pr="0040497B" w:rsidRDefault="00F76602" w:rsidP="00293CED">
            <w:pPr>
              <w:keepLines/>
              <w:spacing w:after="0" w:line="240" w:lineRule="auto"/>
              <w:rPr>
                <w:rFonts w:ascii="Arial Narrow" w:hAnsi="Arial Narrow" w:cs="Tahoma"/>
                <w:bCs/>
                <w:sz w:val="18"/>
                <w:szCs w:val="18"/>
              </w:rPr>
            </w:pPr>
            <w:r w:rsidRPr="00786E5A">
              <w:rPr>
                <w:rFonts w:ascii="Arial Narrow" w:hAnsi="Arial Narrow" w:cs="Tahoma"/>
                <w:bCs/>
                <w:sz w:val="18"/>
                <w:szCs w:val="18"/>
              </w:rPr>
              <w:t>Percent of organizations reporting improvements in operations based on training and technical assistance</w:t>
            </w:r>
          </w:p>
        </w:tc>
        <w:tc>
          <w:tcPr>
            <w:tcW w:w="4123" w:type="dxa"/>
            <w:tcBorders>
              <w:top w:val="single" w:sz="6" w:space="0" w:color="000000"/>
              <w:bottom w:val="single" w:sz="6" w:space="0" w:color="000000"/>
              <w:right w:val="single" w:sz="6" w:space="0" w:color="000000"/>
            </w:tcBorders>
          </w:tcPr>
          <w:p w:rsidR="00F76602" w:rsidRPr="0040497B" w:rsidRDefault="00F76602" w:rsidP="00293CED">
            <w:pPr>
              <w:keepLines/>
              <w:spacing w:after="0" w:line="218" w:lineRule="atLeast"/>
              <w:rPr>
                <w:rFonts w:ascii="Arial Narrow" w:hAnsi="Arial Narrow" w:cs="Tahoma"/>
                <w:sz w:val="18"/>
                <w:szCs w:val="18"/>
              </w:rPr>
            </w:pPr>
            <w:r w:rsidRPr="00786E5A">
              <w:rPr>
                <w:rFonts w:ascii="Arial Narrow" w:hAnsi="Arial Narrow" w:cs="Tahoma"/>
                <w:sz w:val="18"/>
                <w:szCs w:val="18"/>
              </w:rPr>
              <w:t>The number and percent of organizations reporting improvements in operations as a result of TTA one to six months post-service.</w:t>
            </w:r>
          </w:p>
        </w:tc>
        <w:tc>
          <w:tcPr>
            <w:tcW w:w="2702" w:type="dxa"/>
            <w:tcBorders>
              <w:top w:val="single" w:sz="6" w:space="0" w:color="000000"/>
              <w:bottom w:val="single" w:sz="6" w:space="0" w:color="000000"/>
              <w:right w:val="single" w:sz="6" w:space="0" w:color="000000"/>
            </w:tcBorders>
          </w:tcPr>
          <w:p w:rsidR="00F76602" w:rsidRDefault="00F76602" w:rsidP="0047673A">
            <w:pPr>
              <w:keepLines/>
              <w:numPr>
                <w:ilvl w:val="0"/>
                <w:numId w:val="1"/>
              </w:numPr>
              <w:spacing w:after="0" w:line="240" w:lineRule="auto"/>
              <w:ind w:left="233" w:hanging="216"/>
              <w:rPr>
                <w:rFonts w:ascii="Arial Narrow" w:hAnsi="Arial Narrow" w:cs="Tahoma"/>
                <w:sz w:val="18"/>
                <w:szCs w:val="18"/>
              </w:rPr>
            </w:pPr>
            <w:r w:rsidRPr="00786E5A">
              <w:rPr>
                <w:rFonts w:ascii="Arial Narrow" w:hAnsi="Arial Narrow" w:cs="Tahoma"/>
                <w:sz w:val="18"/>
                <w:szCs w:val="18"/>
              </w:rPr>
              <w:t>Number of organizations that receive training and technical assistance during the reporting period</w:t>
            </w:r>
          </w:p>
          <w:p w:rsidR="00F76602" w:rsidRDefault="00F76602" w:rsidP="0047673A">
            <w:pPr>
              <w:keepLines/>
              <w:numPr>
                <w:ilvl w:val="0"/>
                <w:numId w:val="1"/>
              </w:numPr>
              <w:spacing w:after="0" w:line="240" w:lineRule="auto"/>
              <w:ind w:left="233" w:hanging="216"/>
              <w:rPr>
                <w:rFonts w:ascii="Arial Narrow" w:hAnsi="Arial Narrow" w:cs="Tahoma"/>
                <w:sz w:val="18"/>
                <w:szCs w:val="18"/>
              </w:rPr>
            </w:pPr>
            <w:r w:rsidRPr="00786E5A">
              <w:rPr>
                <w:rFonts w:ascii="Arial Narrow" w:hAnsi="Arial Narrow" w:cs="Tahoma"/>
                <w:sz w:val="18"/>
                <w:szCs w:val="18"/>
              </w:rPr>
              <w:t>Number of those served by TTA during the reporting period</w:t>
            </w:r>
          </w:p>
          <w:p w:rsidR="00F76602" w:rsidRPr="0040497B" w:rsidRDefault="00F76602" w:rsidP="0047673A">
            <w:pPr>
              <w:keepLines/>
              <w:numPr>
                <w:ilvl w:val="0"/>
                <w:numId w:val="1"/>
              </w:numPr>
              <w:spacing w:after="0" w:line="240" w:lineRule="auto"/>
              <w:ind w:left="233" w:hanging="216"/>
              <w:rPr>
                <w:rFonts w:ascii="Arial Narrow" w:hAnsi="Arial Narrow" w:cs="Tahoma"/>
                <w:sz w:val="18"/>
                <w:szCs w:val="18"/>
              </w:rPr>
            </w:pPr>
            <w:r>
              <w:rPr>
                <w:rFonts w:ascii="Arial Narrow" w:hAnsi="Arial Narrow" w:cs="Tahoma"/>
                <w:sz w:val="18"/>
                <w:szCs w:val="18"/>
              </w:rPr>
              <w:t xml:space="preserve">Percent (A/B) </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F76602" w:rsidRPr="00904641" w:rsidRDefault="00F76602" w:rsidP="00293CED">
            <w:pPr>
              <w:keepLines/>
              <w:spacing w:after="0" w:line="240" w:lineRule="auto"/>
              <w:rPr>
                <w:rFonts w:ascii="Arial Narrow" w:hAnsi="Arial Narrow" w:cs="Tahoma"/>
                <w:bCs/>
                <w:sz w:val="18"/>
                <w:szCs w:val="18"/>
              </w:rPr>
            </w:pPr>
          </w:p>
        </w:tc>
        <w:tc>
          <w:tcPr>
            <w:tcW w:w="4123" w:type="dxa"/>
            <w:tcBorders>
              <w:top w:val="single" w:sz="6" w:space="0" w:color="000000"/>
              <w:bottom w:val="single" w:sz="6" w:space="0" w:color="000000"/>
              <w:right w:val="single" w:sz="6" w:space="0" w:color="000000"/>
            </w:tcBorders>
          </w:tcPr>
          <w:p w:rsidR="00F76602" w:rsidRPr="00904641" w:rsidRDefault="00F76602"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02" w:type="dxa"/>
            <w:tcBorders>
              <w:top w:val="single" w:sz="6" w:space="0" w:color="000000"/>
              <w:bottom w:val="single" w:sz="6" w:space="0" w:color="000000"/>
              <w:right w:val="single" w:sz="6" w:space="0" w:color="000000"/>
            </w:tcBorders>
          </w:tcPr>
          <w:p w:rsidR="00F76602" w:rsidRPr="0040497B" w:rsidRDefault="00F76602" w:rsidP="0047673A">
            <w:pPr>
              <w:keepLines/>
              <w:numPr>
                <w:ilvl w:val="0"/>
                <w:numId w:val="9"/>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F76602" w:rsidRPr="0040497B" w:rsidRDefault="00F76602" w:rsidP="0047673A">
            <w:pPr>
              <w:keepLines/>
              <w:numPr>
                <w:ilvl w:val="0"/>
                <w:numId w:val="9"/>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F76602" w:rsidRPr="0040497B" w:rsidRDefault="00F76602" w:rsidP="0047673A">
            <w:pPr>
              <w:keepLines/>
              <w:numPr>
                <w:ilvl w:val="0"/>
                <w:numId w:val="9"/>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25" w:type="dxa"/>
            <w:tcBorders>
              <w:top w:val="single" w:sz="6" w:space="0" w:color="000000"/>
              <w:bottom w:val="single" w:sz="6" w:space="0" w:color="000000"/>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8" w:space="0" w:color="auto"/>
            </w:tcBorders>
          </w:tcPr>
          <w:p w:rsidR="00F76602" w:rsidRPr="005177F5" w:rsidRDefault="00F76602" w:rsidP="005177F5">
            <w:pPr>
              <w:pStyle w:val="ListParagraph"/>
              <w:keepLines/>
              <w:numPr>
                <w:ilvl w:val="0"/>
                <w:numId w:val="11"/>
              </w:numPr>
              <w:spacing w:after="0" w:line="218" w:lineRule="atLeast"/>
              <w:rPr>
                <w:rFonts w:ascii="Arial Narrow" w:hAnsi="Arial Narrow" w:cs="Tahoma"/>
                <w:color w:val="000000"/>
                <w:sz w:val="18"/>
                <w:szCs w:val="17"/>
              </w:rPr>
            </w:pPr>
          </w:p>
        </w:tc>
        <w:tc>
          <w:tcPr>
            <w:tcW w:w="1995" w:type="dxa"/>
            <w:tcBorders>
              <w:top w:val="single" w:sz="6" w:space="0" w:color="000000"/>
              <w:left w:val="single" w:sz="6" w:space="0" w:color="000000"/>
              <w:bottom w:val="single" w:sz="8" w:space="0" w:color="auto"/>
              <w:right w:val="single" w:sz="6" w:space="0" w:color="000000"/>
            </w:tcBorders>
          </w:tcPr>
          <w:p w:rsidR="00F76602" w:rsidRPr="0033348B" w:rsidRDefault="00F76602"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123" w:type="dxa"/>
            <w:tcBorders>
              <w:top w:val="single" w:sz="6" w:space="0" w:color="000000"/>
              <w:bottom w:val="single" w:sz="8" w:space="0" w:color="auto"/>
              <w:right w:val="single" w:sz="6" w:space="0" w:color="000000"/>
            </w:tcBorders>
          </w:tcPr>
          <w:p w:rsidR="00F76602" w:rsidRPr="0033348B" w:rsidRDefault="00F76602"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02" w:type="dxa"/>
            <w:tcBorders>
              <w:top w:val="single" w:sz="6" w:space="0" w:color="000000"/>
              <w:bottom w:val="single" w:sz="8" w:space="0" w:color="auto"/>
              <w:right w:val="single" w:sz="6" w:space="0" w:color="000000"/>
            </w:tcBorders>
          </w:tcPr>
          <w:p w:rsidR="00F76602" w:rsidRPr="0040497B" w:rsidRDefault="00F76602" w:rsidP="0047673A">
            <w:pPr>
              <w:keepLines/>
              <w:numPr>
                <w:ilvl w:val="0"/>
                <w:numId w:val="10"/>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F76602" w:rsidRPr="0040497B" w:rsidRDefault="00F76602" w:rsidP="0047673A">
            <w:pPr>
              <w:keepLines/>
              <w:numPr>
                <w:ilvl w:val="0"/>
                <w:numId w:val="10"/>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F76602" w:rsidRPr="0040497B" w:rsidRDefault="00F76602" w:rsidP="0047673A">
            <w:pPr>
              <w:keepLines/>
              <w:numPr>
                <w:ilvl w:val="0"/>
                <w:numId w:val="10"/>
              </w:numPr>
              <w:spacing w:after="0" w:line="240" w:lineRule="auto"/>
              <w:ind w:left="233" w:hanging="216"/>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25" w:type="dxa"/>
            <w:tcBorders>
              <w:top w:val="single" w:sz="6" w:space="0" w:color="000000"/>
              <w:bottom w:val="single" w:sz="8" w:space="0" w:color="auto"/>
              <w:right w:val="single" w:sz="8" w:space="0" w:color="auto"/>
            </w:tcBorders>
          </w:tcPr>
          <w:p w:rsidR="00F76602" w:rsidRDefault="00F76602" w:rsidP="00293CED">
            <w:pPr>
              <w:keepLines/>
              <w:spacing w:after="0" w:line="218" w:lineRule="atLeast"/>
              <w:rPr>
                <w:rFonts w:ascii="Arial Narrow" w:hAnsi="Arial Narrow" w:cs="Tahoma"/>
                <w:color w:val="000000"/>
                <w:sz w:val="18"/>
                <w:szCs w:val="17"/>
              </w:rPr>
            </w:pPr>
          </w:p>
        </w:tc>
      </w:tr>
    </w:tbl>
    <w:p w:rsidR="007F62EE" w:rsidRDefault="007F62EE"/>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p w:rsidR="00F76602" w:rsidRDefault="00F76602"/>
    <w:tbl>
      <w:tblPr>
        <w:tblW w:w="5000" w:type="pct"/>
        <w:tblCellMar>
          <w:top w:w="75" w:type="dxa"/>
          <w:left w:w="75" w:type="dxa"/>
          <w:bottom w:w="75" w:type="dxa"/>
          <w:right w:w="75" w:type="dxa"/>
        </w:tblCellMar>
        <w:tblLook w:val="0000" w:firstRow="0" w:lastRow="0" w:firstColumn="0" w:lastColumn="0" w:noHBand="0" w:noVBand="0"/>
      </w:tblPr>
      <w:tblGrid>
        <w:gridCol w:w="345"/>
        <w:gridCol w:w="2249"/>
        <w:gridCol w:w="3925"/>
        <w:gridCol w:w="2736"/>
        <w:gridCol w:w="1695"/>
      </w:tblGrid>
      <w:tr w:rsidR="00F76602" w:rsidRPr="00636FE4" w:rsidTr="0047673A">
        <w:trPr>
          <w:cantSplit/>
          <w:trHeight w:val="205"/>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lastRenderedPageBreak/>
              <w:t>#</w:t>
            </w:r>
          </w:p>
        </w:tc>
        <w:tc>
          <w:tcPr>
            <w:tcW w:w="2249" w:type="dxa"/>
            <w:tcBorders>
              <w:top w:val="single" w:sz="8" w:space="0" w:color="auto"/>
              <w:left w:val="single" w:sz="6" w:space="0" w:color="FFFFFF"/>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Outcome Measure</w:t>
            </w:r>
          </w:p>
        </w:tc>
        <w:tc>
          <w:tcPr>
            <w:tcW w:w="3925" w:type="dxa"/>
            <w:tcBorders>
              <w:top w:val="single" w:sz="8" w:space="0" w:color="auto"/>
              <w:left w:val="single" w:sz="6" w:space="0" w:color="FFFFFF"/>
              <w:bottom w:val="single" w:sz="6" w:space="0" w:color="000000"/>
              <w:right w:val="single" w:sz="6" w:space="0" w:color="FFFFFF"/>
            </w:tcBorders>
            <w:shd w:val="clear" w:color="auto" w:fill="003366"/>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Definition</w:t>
            </w:r>
          </w:p>
        </w:tc>
        <w:tc>
          <w:tcPr>
            <w:tcW w:w="2736"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F76602" w:rsidRPr="0047673A" w:rsidRDefault="00F76602" w:rsidP="00293CED">
            <w:pPr>
              <w:keepLines/>
              <w:spacing w:after="0" w:line="240" w:lineRule="auto"/>
              <w:rPr>
                <w:rFonts w:ascii="Arial Narrow Bold" w:hAnsi="Arial Narrow Bold" w:cs="Tahoma"/>
                <w:b/>
                <w:color w:val="FFFFFF"/>
                <w:sz w:val="20"/>
                <w:szCs w:val="20"/>
              </w:rPr>
            </w:pPr>
            <w:r w:rsidRPr="0047673A">
              <w:rPr>
                <w:rStyle w:val="Strong"/>
                <w:rFonts w:ascii="Arial Narrow Bold" w:hAnsi="Arial Narrow Bold" w:cs="Tahoma"/>
                <w:color w:val="FFFFFF"/>
                <w:sz w:val="20"/>
                <w:szCs w:val="20"/>
              </w:rPr>
              <w:t>Data Grantee Provides</w:t>
            </w:r>
          </w:p>
        </w:tc>
        <w:tc>
          <w:tcPr>
            <w:tcW w:w="1695" w:type="dxa"/>
            <w:tcBorders>
              <w:top w:val="single" w:sz="8" w:space="0" w:color="auto"/>
              <w:left w:val="single" w:sz="6" w:space="0" w:color="FFFFFF"/>
              <w:bottom w:val="single" w:sz="6" w:space="0" w:color="000000"/>
              <w:right w:val="single" w:sz="8" w:space="0" w:color="auto"/>
            </w:tcBorders>
            <w:shd w:val="clear" w:color="auto" w:fill="003366"/>
          </w:tcPr>
          <w:p w:rsidR="00F76602" w:rsidRPr="0047673A" w:rsidRDefault="00F76602" w:rsidP="00293CED">
            <w:pPr>
              <w:keepLines/>
              <w:spacing w:after="0" w:line="240" w:lineRule="auto"/>
              <w:rPr>
                <w:rStyle w:val="Strong"/>
                <w:rFonts w:ascii="Arial Narrow Bold" w:hAnsi="Arial Narrow Bold" w:cs="Tahoma"/>
                <w:color w:val="FFFFFF"/>
                <w:sz w:val="20"/>
                <w:szCs w:val="20"/>
              </w:rPr>
            </w:pPr>
            <w:r w:rsidRPr="0047673A">
              <w:rPr>
                <w:rStyle w:val="Strong"/>
                <w:rFonts w:ascii="Arial Narrow Bold" w:hAnsi="Arial Narrow Bold" w:cs="Tahoma"/>
                <w:color w:val="FFFFFF"/>
                <w:sz w:val="20"/>
                <w:szCs w:val="20"/>
              </w:rPr>
              <w:t>Record Data Here</w:t>
            </w: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times restorative justice is part of case dispositions of juvenile offenders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such as courts (whether they actually deliver it themselves or not). Report the raw number of case dispositions that include restorative justice programming. Percent is the raw number divided by the number of case dispositions. Include diversion, formal adjudications, warrant hearings, and all other methods of resolving cases against juvenile offenders.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case dispositions that include restorative justice</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case dispositions</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target youth to receive restorative justice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(whether they actually deliver it themselves or not). Report the raw number of youth to participate in restorative justice programming. Percent is the raw number divided by the total number of youth served by the grantee.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youth to participate in restorative justice</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youth served</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different restorative justice sanctioning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coverage of the restorative justice approach. Most appropriate for grantees implementing or referring youth to restorative justice programming. Report raw number of different restorative justice sanctions available. Different implies that the programs either employ different techniques or activities, target different populations, or have different goals.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restorative justice sanctions options available</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offenses for which restorative justice is an option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coverage of the restorative justice approach. Most appropriate for programs that refer youth to restorative justice programs. Report the raw number of juvenile justice offenses (criminal, statutory or civil) for which restorative justice programming may be considered as an option. Percent is the raw number divided by the total number of offenses on the books.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offenses for which restorative justice is an option</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offenses on the books</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crime victims to participate in restorative justice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(whether they actually deliver it themselves or not). Report the raw number of victims of juvenile crime to participate in restorative justice programming. Percent is the raw number divided by the total number of victims processed by the grantee.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crime victims to participate in restorative justice</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crime victims</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Average time in hours from crime report to first contact between victim and victim advocate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hours from a crime being reported to the crime victim being contacted by a victim advocate (e.g., staff who work to restore the victim rather than staff who work to legally process the crime).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Average number of hours from crime to first contact with a victim advocate</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 xml:space="preserve">Average time in hours spent by </w:t>
            </w:r>
            <w:proofErr w:type="spellStart"/>
            <w:r w:rsidRPr="00530BD8">
              <w:rPr>
                <w:rFonts w:ascii="Arial Narrow" w:hAnsi="Arial Narrow" w:cs="Tahoma"/>
                <w:color w:val="000000"/>
                <w:sz w:val="18"/>
                <w:szCs w:val="17"/>
              </w:rPr>
              <w:t>victims</w:t>
            </w:r>
            <w:proofErr w:type="spellEnd"/>
            <w:r w:rsidRPr="00530BD8">
              <w:rPr>
                <w:rFonts w:ascii="Arial Narrow" w:hAnsi="Arial Narrow" w:cs="Tahoma"/>
                <w:color w:val="000000"/>
                <w:sz w:val="18"/>
                <w:szCs w:val="17"/>
              </w:rPr>
              <w:t xml:space="preserve"> advocates with victims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hours that victim advocates spend with crime victims from first encounter through their last encounter. Include any form of direct contact such as in-person meetings, telephone calls, or e-mails.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Average number of hours victim advocates spend with each victim</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Average number of contacts between victim and victim advocate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times that victim advocates contact crime victims from first encounter through their last encounter. Include any form of direct contact such as in-person meetings, telephone calls or messages, letters, or e-mails.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Average number of times victim advocates contact victims</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cases in which victims had input into the offender's disposition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Most appropriate for court units or other entities that process juvenile justice cases. Report the raw number of cases in which victims were able to have input into an offender’s sentence. Include making victim impact statements, defining the restitution owed, or other forms of affecting the resolution of a juvenile justice case. Percent is the raw number divided by the number of cases processed.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cases in which victims had input into offender disposition</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cases processed</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cases in which community members had input into the offender's sentence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Most appropriate for court units or other entities that process juvenile justice cases. Report the raw number of cases in which community members (i.e., not the victim(s) of the crime or family member of the offender) were able to have input into an offender’s sentence. Include making community impact statements, defining the restitution owed, or other forms of affecting the resolution of a juvenile justice case. Percent is the raw number divided by the number of cases processed.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cases in which community members had input into the offender disposition</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cases processed</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ordered and actual offenders to pay monetary restitution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restorative justice programs or those using restorative justice principles. Report the raw number of offenders ordered to pay monetary restitution and the raw number to pay, at least some, restitution. Percent ordered is the raw number ordered divided by the number of youth processed by the grantee. Percent to comply is the raw number to pay divided by the number of youth ordered to pay restitution.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offenders ordered to pay restitution</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offenders that pay restitution</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Number of offenders processed</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D.</w:t>
            </w:r>
            <w:r w:rsidRPr="00530BD8">
              <w:rPr>
                <w:rFonts w:ascii="Arial Narrow" w:hAnsi="Arial Narrow" w:cs="Tahoma"/>
                <w:color w:val="000000"/>
                <w:sz w:val="18"/>
                <w:szCs w:val="17"/>
              </w:rPr>
              <w:tab/>
              <w:t>Percent ordered (a/c)</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E.</w:t>
            </w:r>
            <w:r w:rsidRPr="00530BD8">
              <w:rPr>
                <w:rFonts w:ascii="Arial Narrow" w:hAnsi="Arial Narrow" w:cs="Tahoma"/>
                <w:color w:val="000000"/>
                <w:sz w:val="18"/>
                <w:szCs w:val="17"/>
              </w:rPr>
              <w:tab/>
              <w:t>Percent to comply (b/a)</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6" w:space="0" w:color="000000"/>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offenders to receive skills building training</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6" w:space="0" w:color="000000"/>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 </w:t>
            </w:r>
          </w:p>
        </w:tc>
        <w:tc>
          <w:tcPr>
            <w:tcW w:w="2736" w:type="dxa"/>
            <w:tcBorders>
              <w:top w:val="single" w:sz="6" w:space="0" w:color="000000"/>
              <w:bottom w:val="single" w:sz="6" w:space="0" w:color="000000"/>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offenders to receive skills-building training</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offenders handled</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r w:rsidR="00F76602" w:rsidRPr="00530BD8" w:rsidTr="0047673A">
        <w:trPr>
          <w:cantSplit/>
        </w:trPr>
        <w:tc>
          <w:tcPr>
            <w:tcW w:w="345" w:type="dxa"/>
            <w:tcBorders>
              <w:top w:val="single" w:sz="6" w:space="0" w:color="000000"/>
              <w:left w:val="single" w:sz="8" w:space="0" w:color="auto"/>
              <w:bottom w:val="single" w:sz="8" w:space="0" w:color="auto"/>
            </w:tcBorders>
          </w:tcPr>
          <w:p w:rsidR="00F76602" w:rsidRPr="005177F5" w:rsidRDefault="00F76602" w:rsidP="005177F5">
            <w:pPr>
              <w:pStyle w:val="ListParagraph"/>
              <w:keepLines/>
              <w:numPr>
                <w:ilvl w:val="0"/>
                <w:numId w:val="11"/>
              </w:numPr>
              <w:spacing w:after="0" w:line="240" w:lineRule="auto"/>
              <w:rPr>
                <w:rFonts w:ascii="Arial Narrow" w:hAnsi="Arial Narrow" w:cs="Tahoma"/>
                <w:color w:val="000000"/>
                <w:sz w:val="18"/>
                <w:szCs w:val="17"/>
              </w:rPr>
            </w:pPr>
          </w:p>
        </w:tc>
        <w:tc>
          <w:tcPr>
            <w:tcW w:w="2249" w:type="dxa"/>
            <w:tcBorders>
              <w:top w:val="single" w:sz="6" w:space="0" w:color="000000"/>
              <w:left w:val="single" w:sz="6" w:space="0" w:color="000000"/>
              <w:bottom w:val="single" w:sz="8" w:space="0" w:color="auto"/>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youth to successfully complete their restorative justice requirements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25" w:type="dxa"/>
            <w:tcBorders>
              <w:top w:val="single" w:sz="6" w:space="0" w:color="000000"/>
              <w:bottom w:val="single" w:sz="8" w:space="0" w:color="auto"/>
              <w:right w:val="single" w:sz="6" w:space="0" w:color="000000"/>
            </w:tcBorders>
          </w:tcPr>
          <w:p w:rsidR="00F76602" w:rsidRDefault="00F76602"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restorative justice programs or using restorative justice principles. Report the raw number of offenders to successfully fulfill the requirements of the restorative justice program in which they are participating. Percent is the raw number divided by the total number of offenders who participate in restorative justice programming. </w:t>
            </w:r>
          </w:p>
        </w:tc>
        <w:tc>
          <w:tcPr>
            <w:tcW w:w="2736" w:type="dxa"/>
            <w:tcBorders>
              <w:top w:val="single" w:sz="6" w:space="0" w:color="000000"/>
              <w:bottom w:val="single" w:sz="8" w:space="0" w:color="auto"/>
              <w:right w:val="single" w:sz="6" w:space="0" w:color="000000"/>
            </w:tcBorders>
          </w:tcPr>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youth to successfully complete their restorative justice requirements</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youth to have restorative justice requirements</w:t>
            </w:r>
          </w:p>
          <w:p w:rsidR="00F76602" w:rsidRDefault="00F76602" w:rsidP="0047673A">
            <w:pPr>
              <w:keepLines/>
              <w:spacing w:after="0" w:line="240" w:lineRule="auto"/>
              <w:ind w:left="236" w:hanging="213"/>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F76602" w:rsidRDefault="00F76602" w:rsidP="0047673A">
            <w:pPr>
              <w:keepLines/>
              <w:spacing w:after="0" w:line="240" w:lineRule="auto"/>
              <w:ind w:left="236" w:hanging="213"/>
              <w:rPr>
                <w:rFonts w:ascii="Arial Narrow" w:hAnsi="Arial Narrow" w:cs="Tahoma"/>
                <w:color w:val="000000"/>
                <w:sz w:val="18"/>
                <w:szCs w:val="17"/>
              </w:rPr>
            </w:pPr>
          </w:p>
        </w:tc>
        <w:tc>
          <w:tcPr>
            <w:tcW w:w="1695" w:type="dxa"/>
            <w:tcBorders>
              <w:top w:val="single" w:sz="6" w:space="0" w:color="000000"/>
              <w:bottom w:val="single" w:sz="8" w:space="0" w:color="auto"/>
              <w:right w:val="single" w:sz="8" w:space="0" w:color="auto"/>
            </w:tcBorders>
          </w:tcPr>
          <w:p w:rsidR="00F76602" w:rsidRDefault="00F76602" w:rsidP="00293CED">
            <w:pPr>
              <w:keepLines/>
              <w:spacing w:after="0" w:line="240" w:lineRule="auto"/>
              <w:rPr>
                <w:rFonts w:ascii="Arial Narrow" w:hAnsi="Arial Narrow" w:cs="Tahoma"/>
                <w:color w:val="000000"/>
                <w:sz w:val="18"/>
                <w:szCs w:val="17"/>
              </w:rPr>
            </w:pPr>
          </w:p>
        </w:tc>
      </w:tr>
    </w:tbl>
    <w:p w:rsidR="00F76602" w:rsidRDefault="00F76602"/>
    <w:sectPr w:rsidR="00F76602" w:rsidSect="00F7660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D60" w:rsidRDefault="00031D60" w:rsidP="00F76602">
      <w:pPr>
        <w:spacing w:after="0" w:line="240" w:lineRule="auto"/>
      </w:pPr>
      <w:r>
        <w:separator/>
      </w:r>
    </w:p>
  </w:endnote>
  <w:endnote w:type="continuationSeparator" w:id="0">
    <w:p w:rsidR="00031D60" w:rsidRDefault="00031D60" w:rsidP="00F7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695275"/>
      <w:docPartObj>
        <w:docPartGallery w:val="Page Numbers (Bottom of Page)"/>
        <w:docPartUnique/>
      </w:docPartObj>
    </w:sdtPr>
    <w:sdtEndPr>
      <w:rPr>
        <w:noProof/>
      </w:rPr>
    </w:sdtEndPr>
    <w:sdtContent>
      <w:p w:rsidR="00CC4F6A" w:rsidRDefault="00CC4F6A" w:rsidP="0047673A">
        <w:pPr>
          <w:pStyle w:val="Footer"/>
          <w:jc w:val="right"/>
        </w:pPr>
        <w:r>
          <w:fldChar w:fldCharType="begin"/>
        </w:r>
        <w:r>
          <w:instrText xml:space="preserve"> PAGE   \* MERGEFORMAT </w:instrText>
        </w:r>
        <w:r>
          <w:fldChar w:fldCharType="separate"/>
        </w:r>
        <w:r w:rsidR="0047673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D60" w:rsidRDefault="00031D60" w:rsidP="00F76602">
      <w:pPr>
        <w:spacing w:after="0" w:line="240" w:lineRule="auto"/>
      </w:pPr>
      <w:r>
        <w:separator/>
      </w:r>
    </w:p>
  </w:footnote>
  <w:footnote w:type="continuationSeparator" w:id="0">
    <w:p w:rsidR="00031D60" w:rsidRDefault="00031D60" w:rsidP="00F7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602" w:rsidRPr="008776B6" w:rsidRDefault="00F76602" w:rsidP="00F76602">
    <w:pPr>
      <w:pStyle w:val="Heading1"/>
      <w:spacing w:before="0" w:after="0"/>
      <w:rPr>
        <w:color w:val="auto"/>
      </w:rPr>
    </w:pPr>
    <w:r w:rsidRPr="008776B6">
      <w:rPr>
        <w:color w:val="auto"/>
      </w:rPr>
      <w:t>Office of Juvenile Justice and Delinquency Prevention</w:t>
    </w:r>
  </w:p>
  <w:p w:rsidR="00F76602" w:rsidRPr="00195C88" w:rsidRDefault="00F76602" w:rsidP="00F76602">
    <w:pPr>
      <w:pStyle w:val="Heading1"/>
      <w:spacing w:before="100"/>
      <w:rPr>
        <w:rStyle w:val="instructions1"/>
        <w:rFonts w:cs="Arial"/>
        <w:bCs/>
      </w:rPr>
    </w:pPr>
    <w:r w:rsidRPr="00195C88">
      <w:rPr>
        <w:rStyle w:val="instructions1"/>
        <w:rFonts w:cs="Arial"/>
        <w:bCs/>
      </w:rPr>
      <w:t>Tribal Juvenile Accountability Discretionary Grant Program (T-JADG)</w:t>
    </w:r>
  </w:p>
  <w:p w:rsidR="00F76602" w:rsidRPr="00F76602" w:rsidRDefault="00F76602" w:rsidP="00F76602">
    <w:pPr>
      <w:pStyle w:val="Heading1"/>
      <w:spacing w:after="100"/>
      <w:rPr>
        <w:color w:val="auto"/>
      </w:rPr>
    </w:pPr>
    <w:r w:rsidRPr="00D27F8D">
      <w:rPr>
        <w:color w:val="auto"/>
      </w:rPr>
      <w:t>Restorative 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5B1"/>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D2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07D6439A"/>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22D7527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A5BF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1367F"/>
    <w:multiLevelType w:val="hybridMultilevel"/>
    <w:tmpl w:val="E72619A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97E6A"/>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3DFA6FC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40D020B5"/>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762C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6C670901"/>
    <w:multiLevelType w:val="hybridMultilevel"/>
    <w:tmpl w:val="8752DA3E"/>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8631D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1"/>
  </w:num>
  <w:num w:numId="5">
    <w:abstractNumId w:val="7"/>
  </w:num>
  <w:num w:numId="6">
    <w:abstractNumId w:val="9"/>
  </w:num>
  <w:num w:numId="7">
    <w:abstractNumId w:val="3"/>
  </w:num>
  <w:num w:numId="8">
    <w:abstractNumId w:val="8"/>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602"/>
    <w:rsid w:val="00031D60"/>
    <w:rsid w:val="0047673A"/>
    <w:rsid w:val="005177F5"/>
    <w:rsid w:val="007F62EE"/>
    <w:rsid w:val="00830461"/>
    <w:rsid w:val="00CC4F6A"/>
    <w:rsid w:val="00F7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8A817-FCBE-4C39-966F-673F3580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602"/>
  </w:style>
  <w:style w:type="paragraph" w:styleId="Heading1">
    <w:name w:val="heading 1"/>
    <w:basedOn w:val="Normal"/>
    <w:next w:val="BodyText"/>
    <w:link w:val="Heading1Char"/>
    <w:qFormat/>
    <w:rsid w:val="00F7660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02"/>
  </w:style>
  <w:style w:type="paragraph" w:styleId="Footer">
    <w:name w:val="footer"/>
    <w:basedOn w:val="Normal"/>
    <w:link w:val="FooterChar"/>
    <w:uiPriority w:val="99"/>
    <w:unhideWhenUsed/>
    <w:rsid w:val="00F7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02"/>
  </w:style>
  <w:style w:type="character" w:customStyle="1" w:styleId="Heading1Char">
    <w:name w:val="Heading 1 Char"/>
    <w:basedOn w:val="DefaultParagraphFont"/>
    <w:link w:val="Heading1"/>
    <w:rsid w:val="00F76602"/>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F76602"/>
  </w:style>
  <w:style w:type="paragraph" w:styleId="BodyText">
    <w:name w:val="Body Text"/>
    <w:basedOn w:val="Normal"/>
    <w:link w:val="BodyTextChar"/>
    <w:uiPriority w:val="99"/>
    <w:semiHidden/>
    <w:unhideWhenUsed/>
    <w:rsid w:val="00F76602"/>
    <w:pPr>
      <w:spacing w:after="120"/>
    </w:pPr>
  </w:style>
  <w:style w:type="character" w:customStyle="1" w:styleId="BodyTextChar">
    <w:name w:val="Body Text Char"/>
    <w:basedOn w:val="DefaultParagraphFont"/>
    <w:link w:val="BodyText"/>
    <w:uiPriority w:val="99"/>
    <w:semiHidden/>
    <w:rsid w:val="00F76602"/>
  </w:style>
  <w:style w:type="character" w:styleId="Strong">
    <w:name w:val="Strong"/>
    <w:qFormat/>
    <w:rsid w:val="00F76602"/>
    <w:rPr>
      <w:b/>
      <w:bCs/>
    </w:rPr>
  </w:style>
  <w:style w:type="paragraph" w:styleId="ListParagraph">
    <w:name w:val="List Paragraph"/>
    <w:basedOn w:val="Normal"/>
    <w:uiPriority w:val="34"/>
    <w:qFormat/>
    <w:rsid w:val="00F76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2021-08-11T20:54:00Z</dcterms:created>
  <dcterms:modified xsi:type="dcterms:W3CDTF">2021-08-11T20:54:00Z</dcterms:modified>
</cp:coreProperties>
</file>